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 w:lineRule="exact"/>
        <w:rPr>
          <w:sz w:val="24"/>
          <w:szCs w:val="24"/>
          <w:color w:val="auto"/>
        </w:rPr>
      </w:pPr>
    </w:p>
    <w:p>
      <w:pPr>
        <w:ind w:left="3660" w:right="1840" w:hanging="3652"/>
        <w:spacing w:after="0" w:line="438"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307" w:lineRule="exact"/>
        <w:rPr>
          <w:sz w:val="24"/>
          <w:szCs w:val="24"/>
          <w:color w:val="auto"/>
        </w:rPr>
      </w:pPr>
    </w:p>
    <w:p>
      <w:pPr>
        <w:ind w:left="4200" w:right="1860" w:hanging="4192"/>
        <w:spacing w:after="0" w:line="458" w:lineRule="auto"/>
        <w:tabs>
          <w:tab w:leader="none" w:pos="2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001-39304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-15240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ADEIA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9" w:lineRule="exact"/>
        <w:rPr>
          <w:sz w:val="24"/>
          <w:szCs w:val="24"/>
          <w:color w:val="auto"/>
        </w:rPr>
      </w:pPr>
    </w:p>
    <w:tbl>
      <w:tblPr>
        <w:tblLayout w:type="fixed"/>
        <w:tblInd w:w="1020" w:type="dxa"/>
        <w:tblCellMar>
          <w:top w:w="0" w:type="dxa"/>
          <w:left w:w="0" w:type="dxa"/>
          <w:bottom w:w="0" w:type="dxa"/>
          <w:right w:w="0" w:type="dxa"/>
        </w:tblCellMar>
      </w:tblPr>
      <w:tr>
        <w:trPr>
          <w:trHeight w:val="222"/>
        </w:trPr>
        <w:tc>
          <w:tcPr>
            <w:tcW w:w="5120" w:type="dxa"/>
            <w:vAlign w:val="bottom"/>
          </w:tcPr>
          <w:p>
            <w:pPr>
              <w:jc w:val="center"/>
              <w:ind w:right="159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84-4734590</w:t>
            </w:r>
          </w:p>
        </w:tc>
      </w:tr>
      <w:tr>
        <w:trPr>
          <w:trHeight w:val="203"/>
        </w:trPr>
        <w:tc>
          <w:tcPr>
            <w:tcW w:w="5120" w:type="dxa"/>
            <w:vAlign w:val="bottom"/>
          </w:tcPr>
          <w:p>
            <w:pPr>
              <w:jc w:val="center"/>
              <w:ind w:right="1615"/>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960" w:type="dxa"/>
            <w:vAlign w:val="bottom"/>
          </w:tcPr>
          <w:p>
            <w:pPr>
              <w:jc w:val="center"/>
              <w:ind w:left="1615"/>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20" w:type="dxa"/>
            <w:vAlign w:val="bottom"/>
          </w:tcPr>
          <w:p>
            <w:pPr>
              <w:jc w:val="center"/>
              <w:ind w:right="1615"/>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960" w:type="dxa"/>
            <w:vAlign w:val="bottom"/>
          </w:tcPr>
          <w:p>
            <w:pPr>
              <w:jc w:val="center"/>
              <w:ind w:left="1615"/>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28"/>
        </w:trPr>
        <w:tc>
          <w:tcPr>
            <w:tcW w:w="5120" w:type="dxa"/>
            <w:vAlign w:val="bottom"/>
          </w:tcPr>
          <w:p>
            <w:pPr>
              <w:jc w:val="center"/>
              <w:ind w:right="1595"/>
              <w:spacing w:after="0"/>
              <w:rPr>
                <w:sz w:val="20"/>
                <w:szCs w:val="20"/>
                <w:color w:val="auto"/>
              </w:rPr>
            </w:pPr>
            <w:r>
              <w:rPr>
                <w:rFonts w:ascii="Times New Roman" w:cs="Times New Roman" w:eastAsia="Times New Roman" w:hAnsi="Times New Roman"/>
                <w:sz w:val="18"/>
                <w:szCs w:val="18"/>
                <w:b w:val="1"/>
                <w:bCs w:val="1"/>
                <w:color w:val="auto"/>
                <w:w w:val="99"/>
              </w:rPr>
              <w:t>3025 Orchard Parkway, San Jose, California</w:t>
            </w:r>
          </w:p>
        </w:tc>
        <w:tc>
          <w:tcPr>
            <w:tcW w:w="2960" w:type="dxa"/>
            <w:vAlign w:val="bottom"/>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95134</w:t>
            </w:r>
          </w:p>
        </w:tc>
      </w:tr>
      <w:tr>
        <w:trPr>
          <w:trHeight w:val="212"/>
        </w:trPr>
        <w:tc>
          <w:tcPr>
            <w:tcW w:w="5120" w:type="dxa"/>
            <w:vAlign w:val="bottom"/>
          </w:tcPr>
          <w:p>
            <w:pPr>
              <w:jc w:val="center"/>
              <w:ind w:right="1615"/>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60" w:type="dxa"/>
            <w:vAlign w:val="bottom"/>
          </w:tcPr>
          <w:p>
            <w:pPr>
              <w:jc w:val="center"/>
              <w:ind w:left="1595"/>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473-2500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9"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25"/>
        </w:trPr>
        <w:tc>
          <w:tcPr>
            <w:tcW w:w="38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tcPr>
          <w:p>
            <w:pPr>
              <w:spacing w:after="0"/>
              <w:rPr>
                <w:sz w:val="19"/>
                <w:szCs w:val="19"/>
                <w:color w:val="auto"/>
              </w:rPr>
            </w:pPr>
          </w:p>
        </w:tc>
      </w:tr>
      <w:tr>
        <w:trPr>
          <w:trHeight w:val="163"/>
        </w:trPr>
        <w:tc>
          <w:tcPr>
            <w:tcW w:w="3880" w:type="dxa"/>
            <w:vAlign w:val="bottom"/>
            <w:tcBorders>
              <w:left w:val="single" w:sz="8" w:color="auto"/>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6"/>
                <w:szCs w:val="16"/>
                <w:b w:val="1"/>
                <w:bCs w:val="1"/>
                <w:color w:val="auto"/>
                <w:w w:val="99"/>
              </w:rPr>
              <w:t>Trading</w:t>
            </w:r>
          </w:p>
        </w:tc>
        <w:tc>
          <w:tcPr>
            <w:tcW w:w="4820" w:type="dxa"/>
            <w:vAlign w:val="bottom"/>
            <w:tcBorders>
              <w:right w:val="single" w:sz="8" w:color="auto"/>
            </w:tcBorders>
          </w:tcPr>
          <w:p>
            <w:pPr>
              <w:spacing w:after="0"/>
              <w:rPr>
                <w:sz w:val="14"/>
                <w:szCs w:val="14"/>
                <w:color w:val="auto"/>
              </w:rPr>
            </w:pPr>
          </w:p>
        </w:tc>
      </w:tr>
      <w:tr>
        <w:trPr>
          <w:trHeight w:val="234"/>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1"/>
        </w:trPr>
        <w:tc>
          <w:tcPr>
            <w:tcW w:w="388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Common Stock (par value $0.001 per share)</w:t>
            </w:r>
          </w:p>
        </w:tc>
        <w:tc>
          <w:tcPr>
            <w:tcW w:w="254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ADEA</w:t>
            </w:r>
          </w:p>
        </w:tc>
        <w:tc>
          <w:tcPr>
            <w:tcW w:w="482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97"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Accelerated filer</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4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3"/>
                <w:szCs w:val="23"/>
                <w:color w:val="auto"/>
              </w:rPr>
            </w:pPr>
          </w:p>
        </w:tc>
        <w:tc>
          <w:tcPr>
            <w:tcW w:w="320" w:type="dxa"/>
            <w:vAlign w:val="bottom"/>
          </w:tcPr>
          <w:p>
            <w:pPr>
              <w:spacing w:after="0"/>
              <w:rPr>
                <w:sz w:val="23"/>
                <w:szCs w:val="23"/>
                <w:color w:val="auto"/>
              </w:rPr>
            </w:pPr>
          </w:p>
        </w:tc>
      </w:tr>
    </w:tbl>
    <w:p>
      <w:pPr>
        <w:spacing w:after="0" w:line="27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96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outstanding of the registrant’s common stock as of October 22, 2026 was 110,367,561.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796925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92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9200" w:type="dxa"/>
            <w:vAlign w:val="bottom"/>
            <w:gridSpan w:val="13"/>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Income – Three and Nine Months Ended September 30, 2026 and 2025</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 Three and Nine Months Ended September 30, 2026 and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2025</w:t>
            </w:r>
          </w:p>
        </w:tc>
        <w:tc>
          <w:tcPr>
            <w:tcW w:w="24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 September 30, 2026 and December 31, 2025</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 Nine Months Ended September 30, 2026 and 2025</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Equity – Three and Nine Months Ended September 30, 2026 and 2025</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020" w:type="dxa"/>
            <w:vAlign w:val="bottom"/>
            <w:tcBorders>
              <w:top w:val="single" w:sz="8" w:color="0000FF"/>
            </w:tcBorders>
            <w:gridSpan w:val="5"/>
          </w:tcPr>
          <w:p>
            <w:pPr>
              <w:spacing w:after="0"/>
              <w:rPr>
                <w:sz w:val="17"/>
                <w:szCs w:val="17"/>
                <w:color w:val="auto"/>
              </w:rPr>
            </w:pPr>
          </w:p>
        </w:tc>
        <w:tc>
          <w:tcPr>
            <w:tcW w:w="118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2"/>
          </w:tcPr>
          <w:p>
            <w:pPr>
              <w:spacing w:after="0"/>
              <w:rPr>
                <w:sz w:val="17"/>
                <w:szCs w:val="17"/>
                <w:color w:val="auto"/>
              </w:rPr>
            </w:pPr>
          </w:p>
        </w:tc>
        <w:tc>
          <w:tcPr>
            <w:tcW w:w="274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40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20" w:type="dxa"/>
            <w:vAlign w:val="bottom"/>
            <w:tcBorders>
              <w:bottom w:val="single" w:sz="8" w:color="0000EE"/>
            </w:tcBorders>
          </w:tcPr>
          <w:p>
            <w:pPr>
              <w:spacing w:after="0"/>
              <w:rPr>
                <w:sz w:val="17"/>
                <w:szCs w:val="17"/>
                <w:color w:val="auto"/>
              </w:rPr>
            </w:pPr>
          </w:p>
        </w:tc>
        <w:tc>
          <w:tcPr>
            <w:tcW w:w="3700" w:type="dxa"/>
            <w:vAlign w:val="bottom"/>
            <w:gridSpan w:val="7"/>
          </w:tcPr>
          <w:p>
            <w:pPr>
              <w:spacing w:after="0"/>
              <w:rPr>
                <w:sz w:val="17"/>
                <w:szCs w:val="17"/>
                <w:color w:val="auto"/>
              </w:rPr>
            </w:pPr>
          </w:p>
        </w:tc>
        <w:tc>
          <w:tcPr>
            <w:tcW w:w="5700" w:type="dxa"/>
            <w:vAlign w:val="bottom"/>
          </w:tcPr>
          <w:p>
            <w:pPr>
              <w:spacing w:after="0"/>
              <w:rPr>
                <w:sz w:val="17"/>
                <w:szCs w:val="17"/>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3060" w:type="dxa"/>
            <w:vAlign w:val="bottom"/>
            <w:gridSpan w:val="4"/>
          </w:tcPr>
          <w:p>
            <w:pPr>
              <w:spacing w:after="0"/>
              <w:rPr>
                <w:sz w:val="17"/>
                <w:szCs w:val="17"/>
                <w:color w:val="auto"/>
              </w:rPr>
            </w:pPr>
          </w:p>
        </w:tc>
        <w:tc>
          <w:tcPr>
            <w:tcW w:w="5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44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4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0" w:type="dxa"/>
            <w:vAlign w:val="bottom"/>
          </w:tcPr>
          <w:p>
            <w:pPr>
              <w:spacing w:after="0"/>
              <w:rPr>
                <w:sz w:val="17"/>
                <w:szCs w:val="17"/>
                <w:color w:val="auto"/>
              </w:rPr>
            </w:pPr>
          </w:p>
        </w:tc>
        <w:tc>
          <w:tcPr>
            <w:tcW w:w="5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17"/>
                <w:szCs w:val="17"/>
                <w:color w:val="auto"/>
              </w:rPr>
            </w:pPr>
          </w:p>
        </w:tc>
        <w:tc>
          <w:tcPr>
            <w:tcW w:w="2080" w:type="dxa"/>
            <w:vAlign w:val="bottom"/>
            <w:gridSpan w:val="2"/>
          </w:tcPr>
          <w:p>
            <w:pPr>
              <w:spacing w:after="0"/>
              <w:rPr>
                <w:sz w:val="17"/>
                <w:szCs w:val="17"/>
                <w:color w:val="auto"/>
              </w:rPr>
            </w:pPr>
          </w:p>
        </w:tc>
        <w:tc>
          <w:tcPr>
            <w:tcW w:w="5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3080" w:type="dxa"/>
            <w:vAlign w:val="bottom"/>
            <w:gridSpan w:val="5"/>
          </w:tcPr>
          <w:p>
            <w:pPr>
              <w:spacing w:after="0"/>
              <w:rPr>
                <w:sz w:val="17"/>
                <w:szCs w:val="17"/>
                <w:color w:val="auto"/>
              </w:rPr>
            </w:pPr>
          </w:p>
        </w:tc>
        <w:tc>
          <w:tcPr>
            <w:tcW w:w="5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44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668"/>
        </w:trPr>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r>
        <w:trPr>
          <w:trHeight w:val="763"/>
        </w:trPr>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64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Pr>
          <w:p>
            <w:pPr>
              <w:spacing w:after="0"/>
              <w:rPr>
                <w:sz w:val="16"/>
                <w:szCs w:val="16"/>
                <w:color w:val="auto"/>
              </w:rPr>
            </w:pPr>
          </w:p>
        </w:tc>
        <w:tc>
          <w:tcPr>
            <w:tcW w:w="1440" w:type="dxa"/>
            <w:vAlign w:val="bottom"/>
            <w:tcBorders>
              <w:top w:val="single" w:sz="8" w:color="auto"/>
            </w:tcBorders>
            <w:gridSpan w:val="3"/>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38"/>
        </w:trPr>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80,193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87,339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281,082</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260,744</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55,217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48,364</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85,481</w:t>
            </w: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42,427</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 expense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tcPr>
          <w:p>
            <w:pPr>
              <w:spacing w:after="0"/>
              <w:rPr>
                <w:sz w:val="18"/>
                <w:szCs w:val="18"/>
                <w:color w:val="auto"/>
              </w:rPr>
            </w:pPr>
          </w:p>
        </w:tc>
      </w:tr>
      <w:tr>
        <w:trPr>
          <w:trHeight w:val="209"/>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71,149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211,833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66,249</w:t>
            </w: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(10,054)</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(24,632)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(30,919)</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tcPr>
          <w:p>
            <w:pPr>
              <w:spacing w:after="0"/>
              <w:rPr>
                <w:sz w:val="18"/>
                <w:szCs w:val="18"/>
                <w:color w:val="auto"/>
              </w:rPr>
            </w:pPr>
          </w:p>
        </w:tc>
      </w:tr>
      <w:tr>
        <w:trPr>
          <w:trHeight w:val="209"/>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39,952</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8"/>
                <w:szCs w:val="18"/>
                <w:color w:val="auto"/>
              </w:rPr>
            </w:pPr>
          </w:p>
        </w:tc>
      </w:tr>
      <w:tr>
        <w:trPr>
          <w:trHeight w:val="25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42,406</w:t>
            </w:r>
          </w:p>
        </w:tc>
        <w:tc>
          <w:tcPr>
            <w:tcW w:w="16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37,364</w:t>
            </w:r>
          </w:p>
        </w:tc>
        <w:tc>
          <w:tcPr>
            <w:tcW w:w="100" w:type="dxa"/>
            <w:vAlign w:val="bottom"/>
            <w:shd w:val="clear" w:color="auto" w:fill="CFF0FC"/>
          </w:tcPr>
          <w:p>
            <w:pPr>
              <w:spacing w:after="0"/>
              <w:rPr>
                <w:sz w:val="21"/>
                <w:szCs w:val="21"/>
                <w:color w:val="auto"/>
              </w:rPr>
            </w:pPr>
          </w:p>
        </w:tc>
      </w:tr>
      <w:tr>
        <w:trPr>
          <w:trHeight w:val="196"/>
        </w:trPr>
        <w:tc>
          <w:tcPr>
            <w:tcW w:w="49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4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4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160" w:type="dxa"/>
            <w:vAlign w:val="bottom"/>
          </w:tcPr>
          <w:p>
            <w:pPr>
              <w:spacing w:after="0"/>
              <w:rPr>
                <w:sz w:val="17"/>
                <w:szCs w:val="17"/>
                <w:color w:val="auto"/>
              </w:rPr>
            </w:pPr>
          </w:p>
        </w:tc>
        <w:tc>
          <w:tcPr>
            <w:tcW w:w="36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used in per share calculations</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109,421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108,735</w:t>
            </w:r>
          </w:p>
        </w:tc>
        <w:tc>
          <w:tcPr>
            <w:tcW w:w="10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80" w:type="dxa"/>
            <w:vAlign w:val="bottom"/>
            <w:tcBorders>
              <w:bottom w:val="single" w:sz="8" w:color="CFF0FC"/>
            </w:tcBorders>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114,254</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112,823</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114,288</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112,676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-1799590</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-1799590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-1799590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-950595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-934085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-950595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-934085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-950595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-934085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-650875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-633730</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-650875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-633730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-650875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-633730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-8255</wp:posOffset>
            </wp:positionV>
            <wp:extent cx="76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306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47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r>
      <w:tr>
        <w:trPr>
          <w:trHeight w:val="238"/>
        </w:trPr>
        <w:tc>
          <w:tcPr>
            <w:tcW w:w="4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42,406</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37,364</w:t>
            </w:r>
          </w:p>
        </w:tc>
        <w:tc>
          <w:tcPr>
            <w:tcW w:w="10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unrealized gain (loss) on available-for-sale debt securities</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41,868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37,387</w:t>
            </w:r>
          </w:p>
        </w:tc>
        <w:tc>
          <w:tcPr>
            <w:tcW w:w="100" w:type="dxa"/>
            <w:vAlign w:val="bottom"/>
            <w:shd w:val="clear" w:color="auto" w:fill="CFF0FC"/>
          </w:tcPr>
          <w:p>
            <w:pPr>
              <w:spacing w:after="0"/>
              <w:rPr>
                <w:sz w:val="19"/>
                <w:szCs w:val="19"/>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-316230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-316230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-316230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64,308</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73,136</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63,597</w:t>
            </w:r>
          </w:p>
        </w:tc>
        <w:tc>
          <w:tcPr>
            <w:tcW w:w="120" w:type="dxa"/>
            <w:vAlign w:val="bottom"/>
          </w:tcPr>
          <w:p>
            <w:pPr>
              <w:spacing w:after="0"/>
              <w:rPr>
                <w:sz w:val="18"/>
                <w:szCs w:val="18"/>
                <w:color w:val="auto"/>
              </w:rPr>
            </w:pPr>
          </w:p>
        </w:tc>
      </w:tr>
      <w:tr>
        <w:trPr>
          <w:trHeight w:val="209"/>
        </w:trPr>
        <w:tc>
          <w:tcPr>
            <w:tcW w:w="7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127,747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136,733</w:t>
            </w:r>
          </w:p>
        </w:tc>
        <w:tc>
          <w:tcPr>
            <w:tcW w:w="120" w:type="dxa"/>
            <w:vAlign w:val="bottom"/>
            <w:shd w:val="clear" w:color="auto" w:fill="CFF0FC"/>
          </w:tcPr>
          <w:p>
            <w:pPr>
              <w:spacing w:after="0"/>
              <w:rPr>
                <w:sz w:val="18"/>
                <w:szCs w:val="18"/>
                <w:color w:val="auto"/>
              </w:rPr>
            </w:pPr>
          </w:p>
        </w:tc>
      </w:tr>
      <w:tr>
        <w:trPr>
          <w:trHeight w:val="198"/>
        </w:trPr>
        <w:tc>
          <w:tcPr>
            <w:tcW w:w="75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$713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$713, respectively</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w:t>
            </w:r>
          </w:p>
        </w:tc>
        <w:tc>
          <w:tcPr>
            <w:tcW w:w="120" w:type="dxa"/>
            <w:vAlign w:val="bottom"/>
          </w:tcPr>
          <w:p>
            <w:pPr>
              <w:spacing w:after="0"/>
              <w:rPr>
                <w:sz w:val="20"/>
                <w:szCs w:val="20"/>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Unbilled contracts receivable, net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144,869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129,829</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120" w:type="dxa"/>
            <w:vAlign w:val="bottom"/>
          </w:tcPr>
          <w:p>
            <w:pPr>
              <w:spacing w:after="0"/>
              <w:rPr>
                <w:sz w:val="18"/>
                <w:szCs w:val="18"/>
                <w:color w:val="auto"/>
              </w:rPr>
            </w:pPr>
          </w:p>
        </w:tc>
      </w:tr>
      <w:tr>
        <w:trPr>
          <w:trHeight w:val="209"/>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305,245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49,499</w:t>
            </w: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303,456</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12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1,007,164</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1,039,303</w:t>
            </w:r>
          </w:p>
        </w:tc>
        <w:tc>
          <w:tcPr>
            <w:tcW w:w="12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34,250</w:t>
            </w: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20,975</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120" w:type="dxa"/>
            <w:vAlign w:val="bottom"/>
          </w:tcPr>
          <w:p>
            <w:pPr>
              <w:spacing w:after="0"/>
              <w:rPr>
                <w:sz w:val="18"/>
                <w:szCs w:val="18"/>
                <w:color w:val="auto"/>
              </w:rPr>
            </w:pPr>
          </w:p>
        </w:tc>
      </w:tr>
      <w:tr>
        <w:trPr>
          <w:trHeight w:val="210"/>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83,760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79,778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49,975</w:t>
            </w: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359,789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397,479</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income tax payable</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20" w:type="dxa"/>
            <w:vAlign w:val="bottom"/>
          </w:tcPr>
          <w:p>
            <w:pPr>
              <w:spacing w:after="0"/>
              <w:rPr>
                <w:sz w:val="18"/>
                <w:szCs w:val="18"/>
                <w:color w:val="auto"/>
              </w:rPr>
            </w:pPr>
          </w:p>
        </w:tc>
      </w:tr>
      <w:tr>
        <w:trPr>
          <w:trHeight w:val="210"/>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524,398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558,762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5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(2026: authorized 15,000 shares; 2025: authorized 15,000 shares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no shares issued and outstanding)</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(2026: authorized 350,000 shares, issued 131,674 shares,</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110,344 shares; 2025: authorized 350,000 shares, issued 127,923 shares, outstanding</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108,999 shares)</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FF0FC"/>
          </w:tcPr>
          <w:p>
            <w:pPr>
              <w:spacing w:after="0"/>
              <w:rPr>
                <w:sz w:val="20"/>
                <w:szCs w:val="20"/>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685,992</w:t>
            </w: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Treasury stock at cost (2026: 21,330 shares; 2025: 18,924 shares)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(352,208)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(297,778)</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117,990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92,139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480,541</w:t>
            </w:r>
          </w:p>
        </w:tc>
        <w:tc>
          <w:tcPr>
            <w:tcW w:w="120" w:type="dxa"/>
            <w:vAlign w:val="bottom"/>
          </w:tcPr>
          <w:p>
            <w:pPr>
              <w:spacing w:after="0"/>
              <w:rPr>
                <w:sz w:val="18"/>
                <w:szCs w:val="18"/>
                <w:color w:val="auto"/>
              </w:rPr>
            </w:pPr>
          </w:p>
        </w:tc>
      </w:tr>
      <w:tr>
        <w:trPr>
          <w:trHeight w:val="22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1,007,164</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1,039,303</w:t>
            </w:r>
          </w:p>
        </w:tc>
        <w:tc>
          <w:tcPr>
            <w:tcW w:w="120" w:type="dxa"/>
            <w:vAlign w:val="bottom"/>
            <w:shd w:val="clear" w:color="auto" w:fill="CFF0FC"/>
          </w:tcPr>
          <w:p>
            <w:pPr>
              <w:spacing w:after="0"/>
              <w:rPr>
                <w:sz w:val="19"/>
                <w:szCs w:val="19"/>
                <w:color w:val="auto"/>
              </w:rPr>
            </w:pP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-4645660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-4645660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-3813810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-3813810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-2673985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-2673985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-1833880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-1833880</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00" w:type="dxa"/>
            <w:vAlign w:val="bottom"/>
            <w:gridSpan w:val="5"/>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0"/>
        </w:trPr>
        <w:tc>
          <w:tcPr>
            <w:tcW w:w="6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18"/>
                <w:szCs w:val="18"/>
                <w:color w:val="auto"/>
              </w:rPr>
            </w:pP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37,364</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42,427</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25,627</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(5,662)</w:t>
            </w: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1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(7,103)</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(996)</w:t>
            </w:r>
          </w:p>
        </w:tc>
        <w:tc>
          <w:tcPr>
            <w:tcW w:w="1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(12,900)</w:t>
            </w:r>
          </w:p>
        </w:tc>
      </w:tr>
      <w:tr>
        <w:trPr>
          <w:trHeight w:val="216"/>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(4,285)</w:t>
            </w:r>
          </w:p>
        </w:tc>
      </w:tr>
      <w:tr>
        <w:trPr>
          <w:trHeight w:val="216"/>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6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(10,587)</w:t>
            </w:r>
          </w:p>
        </w:tc>
        <w:tc>
          <w:tcPr>
            <w:tcW w:w="1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(1,615)</w:t>
            </w:r>
          </w:p>
        </w:tc>
      </w:tr>
      <w:tr>
        <w:trPr>
          <w:trHeight w:val="216"/>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(1,785)</w:t>
            </w:r>
          </w:p>
        </w:tc>
      </w:tr>
      <w:tr>
        <w:trPr>
          <w:trHeight w:val="209"/>
        </w:trPr>
        <w:tc>
          <w:tcPr>
            <w:tcW w:w="698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118,245</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(2,097)</w:t>
            </w:r>
          </w:p>
        </w:tc>
        <w:tc>
          <w:tcPr>
            <w:tcW w:w="1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(1,216)</w:t>
            </w: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(14,992)</w:t>
            </w:r>
          </w:p>
        </w:tc>
        <w:tc>
          <w:tcPr>
            <w:tcW w:w="1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(6,100)</w:t>
            </w: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6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(27,320)</w:t>
            </w:r>
          </w:p>
        </w:tc>
        <w:tc>
          <w:tcPr>
            <w:tcW w:w="1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(46,256)</w:t>
            </w: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investments</w:t>
            </w:r>
          </w:p>
        </w:tc>
        <w:tc>
          <w:tcPr>
            <w:tcW w:w="160" w:type="dxa"/>
            <w:vAlign w:val="bottom"/>
          </w:tcPr>
          <w:p>
            <w:pPr>
              <w:spacing w:after="0"/>
              <w:rPr>
                <w:sz w:val="18"/>
                <w:szCs w:val="18"/>
                <w:color w:val="auto"/>
              </w:rPr>
            </w:pP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8"/>
                <w:szCs w:val="18"/>
                <w:color w:val="auto"/>
              </w:rPr>
            </w:pPr>
          </w:p>
        </w:tc>
      </w:tr>
      <w:tr>
        <w:trPr>
          <w:trHeight w:val="216"/>
        </w:trPr>
        <w:tc>
          <w:tcPr>
            <w:tcW w:w="6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1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27,105</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(17,304)</w:t>
            </w:r>
          </w:p>
        </w:tc>
        <w:tc>
          <w:tcPr>
            <w:tcW w:w="1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(34,376)</w:t>
            </w: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top w:val="single" w:sz="8" w:color="auto"/>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dividends</w:t>
            </w:r>
          </w:p>
        </w:tc>
        <w:tc>
          <w:tcPr>
            <w:tcW w:w="1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(16,555)</w:t>
            </w:r>
          </w:p>
        </w:tc>
        <w:tc>
          <w:tcPr>
            <w:tcW w:w="1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(16,328)</w:t>
            </w: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Principal payments on debt agreements</w:t>
            </w:r>
          </w:p>
        </w:tc>
        <w:tc>
          <w:tcPr>
            <w:tcW w:w="16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(40,267)</w:t>
            </w:r>
          </w:p>
        </w:tc>
        <w:tc>
          <w:tcPr>
            <w:tcW w:w="1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(39,267)</w:t>
            </w: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employee stock purchase program and exercise of stock options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Repurchases of common stock for tax withholdings on equity awards</w:t>
            </w:r>
          </w:p>
        </w:tc>
        <w:tc>
          <w:tcPr>
            <w:tcW w:w="16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(34,419)</w:t>
            </w:r>
          </w:p>
        </w:tc>
        <w:tc>
          <w:tcPr>
            <w:tcW w:w="1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(20,931)</w:t>
            </w: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(20,011)</w:t>
            </w:r>
          </w:p>
        </w:tc>
        <w:tc>
          <w:tcPr>
            <w:tcW w:w="1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(11,326)</w:t>
            </w:r>
          </w:p>
        </w:tc>
      </w:tr>
      <w:tr>
        <w:trPr>
          <w:trHeight w:val="20"/>
        </w:trPr>
        <w:tc>
          <w:tcPr>
            <w:tcW w:w="6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(109,769)</w:t>
            </w:r>
          </w:p>
        </w:tc>
        <w:tc>
          <w:tcPr>
            <w:tcW w:w="1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(86,447)</w:t>
            </w:r>
          </w:p>
        </w:tc>
      </w:tr>
      <w:tr>
        <w:trPr>
          <w:trHeight w:val="20"/>
        </w:trPr>
        <w:tc>
          <w:tcPr>
            <w:tcW w:w="69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(8,828)</w:t>
            </w:r>
          </w:p>
        </w:tc>
        <w:tc>
          <w:tcPr>
            <w:tcW w:w="1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(22,735)</w:t>
            </w:r>
          </w:p>
        </w:tc>
      </w:tr>
      <w:tr>
        <w:trPr>
          <w:trHeight w:val="216"/>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64,308</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56,090</w:t>
            </w:r>
          </w:p>
        </w:tc>
        <w:tc>
          <w:tcPr>
            <w:tcW w:w="10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18,955</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25,735</w:t>
            </w:r>
          </w:p>
        </w:tc>
        <w:tc>
          <w:tcPr>
            <w:tcW w:w="10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98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Income taxes paid, net of refunds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14,819</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14,383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69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Long-lived assets received in lieu of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1,970</w:t>
            </w:r>
          </w:p>
        </w:tc>
        <w:tc>
          <w:tcPr>
            <w:tcW w:w="2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-3034030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-2202180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-1079500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-796290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9"/>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Total Company Stockholders' Equity</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24"/>
                <w:szCs w:val="24"/>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40" w:type="dxa"/>
            <w:vAlign w:val="bottom"/>
            <w:vMerge w:val="restart"/>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7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July 1, 2026</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110,262</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706,688</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21,274</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(350,675)</w:t>
            </w:r>
          </w:p>
        </w:tc>
        <w:tc>
          <w:tcPr>
            <w:tcW w:w="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(198)</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121,240</w:t>
            </w:r>
          </w:p>
        </w:tc>
        <w:tc>
          <w:tcPr>
            <w:tcW w:w="1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477,187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Borders>
              <w:top w:val="single" w:sz="8" w:color="CFF0FC"/>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2,267</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2,267</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26"/>
        </w:trPr>
        <w:tc>
          <w:tcPr>
            <w:tcW w:w="2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Cash dividends paid on common stock</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(5,517)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(5,517)</w:t>
            </w:r>
          </w:p>
        </w:tc>
        <w:tc>
          <w:tcPr>
            <w:tcW w:w="0" w:type="dxa"/>
            <w:vAlign w:val="bottom"/>
          </w:tcPr>
          <w:p>
            <w:pPr>
              <w:spacing w:after="0"/>
              <w:rPr>
                <w:sz w:val="1"/>
                <w:szCs w:val="1"/>
                <w:color w:val="auto"/>
              </w:rPr>
            </w:pPr>
          </w:p>
        </w:tc>
      </w:tr>
      <w:tr>
        <w:trPr>
          <w:trHeight w:val="171"/>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($0.05 per share)</w:t>
            </w: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9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restricted stock, net of shares</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canceled</w:t>
            </w:r>
          </w:p>
        </w:tc>
        <w:tc>
          <w:tcPr>
            <w:tcW w:w="8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Withholding taxes related to net share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(1,533)</w:t>
            </w:r>
          </w:p>
        </w:tc>
        <w:tc>
          <w:tcPr>
            <w:tcW w:w="8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(1,533)</w:t>
            </w:r>
          </w:p>
        </w:tc>
        <w:tc>
          <w:tcPr>
            <w:tcW w:w="0" w:type="dxa"/>
            <w:vAlign w:val="bottom"/>
          </w:tcPr>
          <w:p>
            <w:pPr>
              <w:spacing w:after="0"/>
              <w:rPr>
                <w:sz w:val="1"/>
                <w:szCs w:val="1"/>
                <w:color w:val="auto"/>
              </w:rPr>
            </w:pPr>
          </w:p>
        </w:tc>
      </w:tr>
      <w:tr>
        <w:trPr>
          <w:trHeight w:val="171"/>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settlement of restricted awards</w:t>
            </w: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10,641</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110,344</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717,329</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21,330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(352,208)</w:t>
            </w:r>
          </w:p>
        </w:tc>
        <w:tc>
          <w:tcPr>
            <w:tcW w:w="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(478)</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117,990</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482,766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Total Company Stockholders' Equity</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5"/>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5"/>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84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7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1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108,999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685,992</w:t>
            </w:r>
          </w:p>
        </w:tc>
        <w:tc>
          <w:tcPr>
            <w:tcW w:w="2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18,924</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(297,778</w:t>
            </w:r>
          </w:p>
        </w:tc>
        <w:tc>
          <w:tcPr>
            <w:tcW w:w="2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92,139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480,541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42,406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42,406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26"/>
        </w:trPr>
        <w:tc>
          <w:tcPr>
            <w:tcW w:w="284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Cash dividends paid on common stock</w:t>
            </w:r>
          </w:p>
        </w:tc>
        <w:tc>
          <w:tcPr>
            <w:tcW w:w="9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(16,555)</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(16,555)</w:t>
            </w:r>
          </w:p>
        </w:tc>
        <w:tc>
          <w:tcPr>
            <w:tcW w:w="0" w:type="dxa"/>
            <w:vAlign w:val="bottom"/>
          </w:tcPr>
          <w:p>
            <w:pPr>
              <w:spacing w:after="0"/>
              <w:rPr>
                <w:sz w:val="1"/>
                <w:szCs w:val="1"/>
                <w:color w:val="auto"/>
              </w:rPr>
            </w:pPr>
          </w:p>
        </w:tc>
      </w:tr>
      <w:tr>
        <w:trPr>
          <w:trHeight w:val="171"/>
        </w:trPr>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($0.15 per share)</w:t>
            </w:r>
          </w:p>
        </w:tc>
        <w:tc>
          <w:tcPr>
            <w:tcW w:w="9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restricted stock, net of 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canceled</w:t>
            </w: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Withholding taxes related to net share</w:t>
            </w:r>
          </w:p>
        </w:tc>
        <w:tc>
          <w:tcPr>
            <w:tcW w:w="9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(1,607)</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(34,419)</w:t>
            </w:r>
          </w:p>
        </w:tc>
        <w:tc>
          <w:tcPr>
            <w:tcW w:w="8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(34,419)</w:t>
            </w:r>
          </w:p>
        </w:tc>
        <w:tc>
          <w:tcPr>
            <w:tcW w:w="0" w:type="dxa"/>
            <w:vAlign w:val="bottom"/>
          </w:tcPr>
          <w:p>
            <w:pPr>
              <w:spacing w:after="0"/>
              <w:rPr>
                <w:sz w:val="1"/>
                <w:szCs w:val="1"/>
                <w:color w:val="auto"/>
              </w:rPr>
            </w:pPr>
          </w:p>
        </w:tc>
      </w:tr>
      <w:tr>
        <w:trPr>
          <w:trHeight w:val="171"/>
        </w:trPr>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settlement of restricted awards</w:t>
            </w:r>
          </w:p>
        </w:tc>
        <w:tc>
          <w:tcPr>
            <w:tcW w:w="9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(20,011)</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(20,011)</w:t>
            </w:r>
          </w:p>
        </w:tc>
        <w:tc>
          <w:tcPr>
            <w:tcW w:w="0" w:type="dxa"/>
            <w:vAlign w:val="bottom"/>
          </w:tcPr>
          <w:p>
            <w:pPr>
              <w:spacing w:after="0"/>
              <w:rPr>
                <w:sz w:val="1"/>
                <w:szCs w:val="1"/>
                <w:color w:val="auto"/>
              </w:rPr>
            </w:pPr>
          </w:p>
        </w:tc>
      </w:tr>
      <w:tr>
        <w:trPr>
          <w:trHeight w:val="149"/>
        </w:trPr>
        <w:tc>
          <w:tcPr>
            <w:tcW w:w="284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29,854</w:t>
            </w:r>
          </w:p>
        </w:tc>
        <w:tc>
          <w:tcPr>
            <w:tcW w:w="2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29,854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110,344</w:t>
            </w:r>
          </w:p>
        </w:tc>
        <w:tc>
          <w:tcPr>
            <w:tcW w:w="16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133</w:t>
            </w:r>
          </w:p>
        </w:tc>
        <w:tc>
          <w:tcPr>
            <w:tcW w:w="3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717,329</w:t>
            </w: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21,330</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(352,208)</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(478)</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117,990</w:t>
            </w:r>
          </w:p>
        </w:tc>
        <w:tc>
          <w:tcPr>
            <w:tcW w:w="140" w:type="dxa"/>
            <w:vAlign w:val="bottom"/>
          </w:tcPr>
          <w:p>
            <w:pPr>
              <w:spacing w:after="0"/>
              <w:rPr>
                <w:sz w:val="12"/>
                <w:szCs w:val="12"/>
                <w:color w:val="auto"/>
              </w:rPr>
            </w:pPr>
          </w:p>
        </w:tc>
        <w:tc>
          <w:tcPr>
            <w:tcW w:w="2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482,766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-3693795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-3693795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-3693795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-3693795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-3693795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-3693795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-3693795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-2262505</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-2245360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-2262505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-2245360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-2262505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-2245360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-2262505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-2245360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-2262505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-2245360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-2262505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-2245360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-2262505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-2245360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-128270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-128270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-128270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-128270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-128270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-128270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-128270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0"/>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Total Company Stockholders' Equity</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5"/>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5"/>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0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22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ve Income</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3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July 1, 2025</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109,325</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127</w:t>
            </w:r>
          </w:p>
        </w:tc>
        <w:tc>
          <w:tcPr>
            <w:tcW w:w="30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667,250</w:t>
            </w:r>
          </w:p>
        </w:tc>
        <w:tc>
          <w:tcPr>
            <w:tcW w:w="9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18,017</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(285,018)</w:t>
            </w:r>
          </w:p>
        </w:tc>
        <w:tc>
          <w:tcPr>
            <w:tcW w:w="16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20,513</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402,916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top w:val="single" w:sz="8" w:color="CFF0FC"/>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8,828</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8,828</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paid on common stock ($0.05 per share)</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(5,471)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(5,471)</w:t>
            </w:r>
          </w:p>
        </w:tc>
        <w:tc>
          <w:tcPr>
            <w:tcW w:w="0" w:type="dxa"/>
            <w:vAlign w:val="bottom"/>
          </w:tcPr>
          <w:p>
            <w:pPr>
              <w:spacing w:after="0"/>
              <w:rPr>
                <w:sz w:val="1"/>
                <w:szCs w:val="1"/>
                <w:color w:val="auto"/>
              </w:rPr>
            </w:pPr>
          </w:p>
        </w:tc>
      </w:tr>
      <w:tr>
        <w:trPr>
          <w:trHeight w:val="126"/>
        </w:trPr>
        <w:tc>
          <w:tcPr>
            <w:tcW w:w="3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exercise</w:t>
            </w: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of stock options</w:t>
            </w:r>
          </w:p>
        </w:tc>
        <w:tc>
          <w:tcPr>
            <w:tcW w:w="86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restricted stock, net of shares canceled</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Withholding taxes related to net share settlement of</w:t>
            </w:r>
          </w:p>
        </w:tc>
        <w:tc>
          <w:tcPr>
            <w:tcW w:w="1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(1,225)</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restricted awards</w:t>
            </w:r>
          </w:p>
        </w:tc>
        <w:tc>
          <w:tcPr>
            <w:tcW w:w="10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8,683</w:t>
            </w:r>
          </w:p>
        </w:tc>
        <w:tc>
          <w:tcPr>
            <w:tcW w:w="2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8,683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109,468</w:t>
            </w:r>
          </w:p>
        </w:tc>
        <w:tc>
          <w:tcPr>
            <w:tcW w:w="140" w:type="dxa"/>
            <w:vAlign w:val="bottom"/>
          </w:tcPr>
          <w:p>
            <w:pPr>
              <w:spacing w:after="0"/>
              <w:rPr>
                <w:sz w:val="12"/>
                <w:szCs w:val="12"/>
                <w:color w:val="auto"/>
              </w:rPr>
            </w:pP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127</w:t>
            </w:r>
          </w:p>
        </w:tc>
        <w:tc>
          <w:tcPr>
            <w:tcW w:w="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675,946</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18,108</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(286,243)</w:t>
            </w:r>
          </w:p>
        </w:tc>
        <w:tc>
          <w:tcPr>
            <w:tcW w:w="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23,870</w:t>
            </w:r>
          </w:p>
        </w:tc>
        <w:tc>
          <w:tcPr>
            <w:tcW w:w="140" w:type="dxa"/>
            <w:vAlign w:val="bottom"/>
          </w:tcPr>
          <w:p>
            <w:pPr>
              <w:spacing w:after="0"/>
              <w:rPr>
                <w:sz w:val="12"/>
                <w:szCs w:val="12"/>
                <w:color w:val="auto"/>
              </w:rPr>
            </w:pP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413,722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0"/>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Total Company Stockholders' Equity</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5"/>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5"/>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0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0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22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ve Income</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3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108,072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22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648,914</w:t>
            </w:r>
          </w:p>
        </w:tc>
        <w:tc>
          <w:tcPr>
            <w:tcW w:w="2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15,880</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(255,301</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396,571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37,364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37,364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dividends paid on common stock ($0.15 per share)</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(16,328)</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(16,328)</w:t>
            </w:r>
          </w:p>
        </w:tc>
        <w:tc>
          <w:tcPr>
            <w:tcW w:w="0" w:type="dxa"/>
            <w:vAlign w:val="bottom"/>
          </w:tcPr>
          <w:p>
            <w:pPr>
              <w:spacing w:after="0"/>
              <w:rPr>
                <w:sz w:val="1"/>
                <w:szCs w:val="1"/>
                <w:color w:val="auto"/>
              </w:rPr>
            </w:pPr>
          </w:p>
        </w:tc>
      </w:tr>
      <w:tr>
        <w:trPr>
          <w:trHeight w:val="126"/>
        </w:trPr>
        <w:tc>
          <w:tcPr>
            <w:tcW w:w="3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exercise</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of stock options</w:t>
            </w: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employee</w:t>
            </w: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22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8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net of shares canceled</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Withholding taxes related to net share settlement of</w:t>
            </w:r>
          </w:p>
        </w:tc>
        <w:tc>
          <w:tcPr>
            <w:tcW w:w="10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(1,468)</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4"/>
                <w:szCs w:val="14"/>
                <w:color w:val="auto"/>
              </w:rPr>
              <w:t>(20,931)</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(20,931)</w:t>
            </w:r>
          </w:p>
        </w:tc>
        <w:tc>
          <w:tcPr>
            <w:tcW w:w="0" w:type="dxa"/>
            <w:vAlign w:val="bottom"/>
          </w:tcPr>
          <w:p>
            <w:pPr>
              <w:spacing w:after="0"/>
              <w:rPr>
                <w:sz w:val="1"/>
                <w:szCs w:val="1"/>
                <w:color w:val="auto"/>
              </w:rPr>
            </w:pPr>
          </w:p>
        </w:tc>
      </w:tr>
      <w:tr>
        <w:trPr>
          <w:trHeight w:val="171"/>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awards</w:t>
            </w:r>
          </w:p>
        </w:tc>
        <w:tc>
          <w:tcPr>
            <w:tcW w:w="1000" w:type="dxa"/>
            <w:vAlign w:val="bottom"/>
            <w:gridSpan w:val="3"/>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(10,011)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(10,011)</w:t>
            </w:r>
          </w:p>
        </w:tc>
        <w:tc>
          <w:tcPr>
            <w:tcW w:w="0" w:type="dxa"/>
            <w:vAlign w:val="bottom"/>
          </w:tcPr>
          <w:p>
            <w:pPr>
              <w:spacing w:after="0"/>
              <w:rPr>
                <w:sz w:val="1"/>
                <w:szCs w:val="1"/>
                <w:color w:val="auto"/>
              </w:rPr>
            </w:pPr>
          </w:p>
        </w:tc>
      </w:tr>
      <w:tr>
        <w:trPr>
          <w:trHeight w:val="148"/>
        </w:trPr>
        <w:tc>
          <w:tcPr>
            <w:tcW w:w="33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25,627</w:t>
            </w:r>
          </w:p>
        </w:tc>
        <w:tc>
          <w:tcPr>
            <w:tcW w:w="2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25,627</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109,468</w:t>
            </w:r>
          </w:p>
        </w:tc>
        <w:tc>
          <w:tcPr>
            <w:tcW w:w="140" w:type="dxa"/>
            <w:vAlign w:val="bottom"/>
          </w:tcPr>
          <w:p>
            <w:pPr>
              <w:spacing w:after="0"/>
              <w:rPr>
                <w:sz w:val="12"/>
                <w:szCs w:val="12"/>
                <w:color w:val="auto"/>
              </w:rPr>
            </w:pP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127</w:t>
            </w:r>
          </w:p>
        </w:tc>
        <w:tc>
          <w:tcPr>
            <w:tcW w:w="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675,946</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18,108</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(286,243)</w:t>
            </w:r>
          </w:p>
        </w:tc>
        <w:tc>
          <w:tcPr>
            <w:tcW w:w="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23,870</w:t>
            </w:r>
          </w:p>
        </w:tc>
        <w:tc>
          <w:tcPr>
            <w:tcW w:w="140" w:type="dxa"/>
            <w:vAlign w:val="bottom"/>
          </w:tcPr>
          <w:p>
            <w:pPr>
              <w:spacing w:after="0"/>
              <w:rPr>
                <w:sz w:val="12"/>
                <w:szCs w:val="12"/>
                <w:color w:val="auto"/>
              </w:rPr>
            </w:pP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413,722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-3128010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-3128010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-3128010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-3128010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-3128010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-3128010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-3128010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-3128010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-2270760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-2270760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-2270760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-2270760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-2270760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-2270760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-2270760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-2270760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-128270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-128270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-128270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-128270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-128270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-128270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-128270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 AND BASIS OF PRESENTATION</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Adeia Inc. (the “Company”), a Delaware corporation, is one of the industry’s largest intellectual property (“IP”) licensing platforms, with a diverse portfolio of media and semiconductor IP consisting of over 14,500 patents and patent applications worldwide.</w:t>
      </w:r>
    </w:p>
    <w:p>
      <w:pPr>
        <w:spacing w:after="0" w:line="162"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by the Company in accordance with generally accepted accounting principles (“GAAP”) in the United States (“U.S.”) and the applicable rules and regulations of the Securities and Exchange Commission (“SEC”) for interim financial information. The amounts as of December 31, 2025 have been derived from the Company’s annual audited Consolidated Financial Statements included in its Annual Report on Form 10-K for the year ended December 31, 2025, filed on February 26, 2026 (the “Form 10-K”). These Condensed Consolidated Financial Statements should be read in conjunction with the annual audited Consolidated Financial Statements and notes thereto included in the Form 10-K as of and for the year ended December 31, 2025.</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Adeia Inc. and its wholly-owned subsidiaries. Certain information and footnote disclosures normally included in financial statements prepared in accordance with U.S. GAAP have been condensed or omitted in accordance with such rules and regulations. In the opinion of management, the accompanying unaudited Condensed Consolidated Financial Statements reflect all adjustments necessary (consisting of normal recurring adjustments) to state fairly the financial position of the Company and its results of operations and cash flows as of and for the periods presented. The results of operations for the three and nine months ended September 30, 2026 are not necessarily indicative of the results that may be expected for the full year ending December 31, 2026 or any future period and the Company makes no representations related thereto.</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December 31 and employs a calendar month-end reporting period for its quarterly reporting. The Company operates under one reportable segment, IP Licensing.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fiscal year balances have been reclassified to conform to the current fiscal year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Company’s significant accounting policies during the three and nine months ended September 30, 2026, as compared to the significant accounting policies described in the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determining standalone selling price used to allocate consideration in a contract with multiple performance obligations, estimating the fair value of noncash consideration, estimating variable consideration relating to potential future price adjustments as a result of legal contract disputes, estimating quarterly royalties prior to receiving the royalty reports from the licensee, measurement of the fair value of acquired intangible assets, the assessment of the recoverability of goodwill, the assessment of useful lives and recoverability of other intangible assets and long-lived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condensed consolidated financial statements as soon as they become known.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Improvements to Reportable Segment Disclosures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In the fourth quarter of 2024, the Company adopted ASU 2023-07 on a retrospective basis, and the adoption did not have a material impact to the Company’s Condensed Consolidated Financial Statements. See “Note 15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detail.</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In the fourth quarter of 2025, the Company adopted ASU 2023-09 on a retrospective basis, and the adoption did not have a material impact to the Company’s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disaggregated information about certain income statement expense line items on an annual and interim basis. ASU 2024-03 will be effective for annual periods beginning after December 15, 2026, and interim periods within fiscal years beginning after December 15, 2027. The new standard permits early adoption and can be applied prospectively or retrospectively. The Company is currently evaluating the impact of adopting ASU 2024-03.</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ASU 2025-11 is effective for fiscal years beginning after December 15, 2027, including interim periods within those fiscal years. The Company is currently evaluating the impact of adopting ASU 2025-11.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taxes are withheld by the Company’s licensee, revenue is recognized gross of withholding taxes that are remitted directly by the licensee to a local tax authority.</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based on their relative standalone selling prices. 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Consolidated Statements of Income during a given period.</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certain contracts with customers, the Company receives noncash consideration in the form of patents, and the fair value of those assets is included in the transaction price for revenue recognition purposes. The Company measures fair value at contract inception using one of, or a combination of, an analysis of comparable market transactions (the market approach), and/or an analysis of the costs that would be required to develop and maintain a comparable set of patents (the cost approach).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 w:name="page11"/>
    <w:bookmarkEnd w:id="10"/>
    <w:p>
      <w:pPr>
        <w:ind w:right="260"/>
        <w:spacing w:after="0" w:line="266" w:lineRule="auto"/>
        <w:rPr>
          <w:sz w:val="20"/>
          <w:szCs w:val="20"/>
          <w:color w:val="auto"/>
        </w:rPr>
      </w:pPr>
      <w:r>
        <w:rPr>
          <w:rFonts w:ascii="Times New Roman" w:cs="Times New Roman" w:eastAsia="Times New Roman" w:hAnsi="Times New Roman"/>
          <w:sz w:val="18"/>
          <w:szCs w:val="18"/>
          <w:color w:val="auto"/>
        </w:rPr>
        <w:t>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amount of variable consideration is estimated by considering all available information (historical, current, and forecast) and is updated as additional information becomes available.</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estimate of variable consideration is included in the transaction price to the extent it is probable that a significant reversal of cumulative revenue recognized will not occur when the uncertainty associated with the variable consideration is resolved. When the uncertainty associated with variable consideration relates to potential price adjustments as a result of a legal contract dispute, the Company estimates variable consideration using the expected value method or the most likely amount method, whichever is more appropriate in the circumstances, and considers all available information, including historical data and experience. Estimating variable consideration related to potential future price adjustments requires significant judgment in evaluating the possible outcomes. Subsequent changes in the transaction price resulting from changes in the estimate of variable consideration are allocated to the performance obligations in the contract on the same basis as at contract inception.</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Revenue-Generating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 License Arrangements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licenses (i) its media patent portfolio (“Media IP licensing”) to multichannel video programming distributors, over-the-top video service providers, consumer electronics manufacturers, social media, and other new media companies and (ii) its semiconductor technologies and associated patent portfolio (“Semiconductor IP licensing”) to memory, logic, sensors, radio frequency component, and foundry companies. The Company generally licenses its IP portfolios under three models: (i) variable-based Media IP or Semiconductor IP royalty licensing, (ii) fixed-fee Media IP licensing, and (iii) fixed-fee or minimum guarantee Semiconductor IP licensing.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Variable-based Media IP or Semiconductor IP royalty licensing</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variable based contracts based on the customer’s sale or usage of the IP during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Fixed-fee Media IP licensing</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long-term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 The transaction price is adjusted for the effect of any significant financing components calculated using borrower-specific, risk-adjusted interest rates, with the related interest income or expense being recognized over time on an effective rate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Fixed-fee or minimum guarantee Semiconductor IP licensing</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occasion, the Company enters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per-unit fees for any units or dollars exceeding the minimum.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generally recognizes the full fixed fee as revenue at the beginning of the license term when the customer has the right to use the IP and begins to benefit from the license, adjusted for the effect of any significant financing components calculated using borrower-specific, risk-adjusted interest rates, with the related interest income or expense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 license contracts with multiple performance obligations</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Determination of standalone selling price requires significant management judgment.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the standalone selling price of each performance obligation, the Company considers such factors as the customer’s revenues, the number of past and projected future subscribers, units shipped, and units manufactured, as well as the per-subscriber or per-unit licensing rates the Company generally receives from licensees of comparable sizes in comparable markets and geographies.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applies a practical expedient to not perform an evaluation of whether a contract includes a significant financing component when the timing of revenue recognition differs from the timing of cash collection by one year or less.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applies a practical expedient to expense costs to obtain a contract with a customer as incurred as a component of selling, general and administrative expenses when the amortization period would have been one year or less.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intellectual property license, or (ii) potential future price adjustments, or (iii) when variable consideration is allocated entirely to a wholly unsatisfied performance obligation; or to a wholly unsatisfied promise to transfer a distinct good or service that forms part of a single performance obligation.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Details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Disaggregation</w:t>
      </w:r>
    </w:p>
    <w:p>
      <w:pPr>
        <w:spacing w:after="0" w:line="2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The following information depicts how the nature, amount, timing and uncertainty of revenue and cash flows are affected by economic factors by disaggregating revenue by category, market vertical and geographic location (presented in “Note 15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This information includes revenue recognized from contracts with customers and revenue from other sources, including sales-based or usage-based royalty revenues and fees associated with releases for past infringement.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and non-recurring revenue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Recurring revenue includes the following: (i) for fixed-fee Media IP license agreements, revenue associated with rights to existing and future patented technologies during reporting periods beginning with the reporting period in which the agreement is executed through the end of the term of the agreement, which are recognized on a straight-line basis; and (ii) for variable based Media IP or Semiconductor IP royalty license agreements, revenue associated with sales-based or usage-based royalties in exchange for a license of IP, which are recognized in the period such subsequent sales or usage occurs.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Non-recurring revenue includes the following: (i) for fixed-fee or minimum guarantee Semiconductor IP license agreements, revenue in the amount of such fixed fee or minimum guarantee associated with the right to use the IP, which is recognized upon execution of the agreement; and (ii) for all license agreements, revenue in the amount of the fees associated with releases for past patent infringement or licenses, in each case with respect to reporting periods prior to the execution of the agreement, which is recognized upon execution of the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Revenue disaggregated by recurring and non-recurring nature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Recurring revenue</w:t>
            </w: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75,969</w:t>
            </w:r>
          </w:p>
        </w:tc>
        <w:tc>
          <w:tcPr>
            <w:tcW w:w="9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86,311</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224,895</w:t>
            </w:r>
          </w:p>
        </w:tc>
        <w:tc>
          <w:tcPr>
            <w:tcW w:w="7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255,817</w:t>
            </w: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revenue</w:t>
            </w:r>
          </w:p>
        </w:tc>
        <w:tc>
          <w:tcPr>
            <w:tcW w:w="1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56,187</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tcPr>
          <w:p>
            <w:pPr>
              <w:spacing w:after="0"/>
              <w:rPr>
                <w:sz w:val="18"/>
                <w:szCs w:val="18"/>
                <w:color w:val="auto"/>
              </w:rPr>
            </w:pPr>
          </w:p>
        </w:tc>
      </w:tr>
      <w:tr>
        <w:trPr>
          <w:trHeight w:val="229"/>
        </w:trPr>
        <w:tc>
          <w:tcPr>
            <w:tcW w:w="2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80,193</w:t>
            </w:r>
          </w:p>
        </w:tc>
        <w:tc>
          <w:tcPr>
            <w:tcW w:w="9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87,339</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281,082</w:t>
            </w:r>
          </w:p>
        </w:tc>
        <w:tc>
          <w:tcPr>
            <w:tcW w:w="7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260,744</w:t>
            </w:r>
          </w:p>
        </w:tc>
        <w:tc>
          <w:tcPr>
            <w:tcW w:w="100" w:type="dxa"/>
            <w:vAlign w:val="bottom"/>
            <w:shd w:val="clear" w:color="auto" w:fill="CFF0FC"/>
          </w:tcPr>
          <w:p>
            <w:pPr>
              <w:spacing w:after="0"/>
              <w:rPr>
                <w:sz w:val="19"/>
                <w:szCs w:val="19"/>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-25400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market vertical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market vertical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3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3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Media</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65,035</w:t>
            </w:r>
          </w:p>
        </w:tc>
        <w:tc>
          <w:tcPr>
            <w:tcW w:w="100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79,722</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217,603</w:t>
            </w:r>
          </w:p>
        </w:tc>
        <w:tc>
          <w:tcPr>
            <w:tcW w:w="7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244,749</w:t>
            </w:r>
          </w:p>
        </w:tc>
        <w:tc>
          <w:tcPr>
            <w:tcW w:w="12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Semiconductor</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15,158</w:t>
            </w:r>
          </w:p>
        </w:tc>
        <w:tc>
          <w:tcPr>
            <w:tcW w:w="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63,479</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15,995</w:t>
            </w:r>
          </w:p>
        </w:tc>
        <w:tc>
          <w:tcPr>
            <w:tcW w:w="120" w:type="dxa"/>
            <w:vAlign w:val="bottom"/>
          </w:tcPr>
          <w:p>
            <w:pPr>
              <w:spacing w:after="0"/>
              <w:rPr>
                <w:sz w:val="18"/>
                <w:szCs w:val="18"/>
                <w:color w:val="auto"/>
              </w:rPr>
            </w:pPr>
          </w:p>
        </w:tc>
      </w:tr>
      <w:tr>
        <w:trPr>
          <w:trHeight w:val="229"/>
        </w:trPr>
        <w:tc>
          <w:tcPr>
            <w:tcW w:w="3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80,193</w:t>
            </w:r>
          </w:p>
        </w:tc>
        <w:tc>
          <w:tcPr>
            <w:tcW w:w="100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87,339</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281,082</w:t>
            </w:r>
          </w:p>
        </w:tc>
        <w:tc>
          <w:tcPr>
            <w:tcW w:w="7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260,744</w:t>
            </w:r>
          </w:p>
        </w:tc>
        <w:tc>
          <w:tcPr>
            <w:tcW w:w="120" w:type="dxa"/>
            <w:vAlign w:val="bottom"/>
            <w:shd w:val="clear" w:color="auto" w:fill="CFF0FC"/>
          </w:tcPr>
          <w:p>
            <w:pPr>
              <w:spacing w:after="0"/>
              <w:rPr>
                <w:sz w:val="19"/>
                <w:szCs w:val="19"/>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2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were recorded in the Condensed Consolidated Balance Sheets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Unbilled contracts receivable, net</w:t>
            </w:r>
          </w:p>
        </w:tc>
        <w:tc>
          <w:tcPr>
            <w:tcW w:w="2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144,869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129,829</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2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41,562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49,499</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18"/>
                <w:szCs w:val="18"/>
                <w:color w:val="auto"/>
              </w:rPr>
            </w:pPr>
          </w:p>
        </w:tc>
      </w:tr>
      <w:tr>
        <w:trPr>
          <w:trHeight w:val="230"/>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contract assets</w:t>
            </w:r>
          </w:p>
        </w:tc>
        <w:tc>
          <w:tcPr>
            <w:tcW w:w="2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189,610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181,736</w:t>
            </w:r>
          </w:p>
        </w:tc>
        <w:tc>
          <w:tcPr>
            <w:tcW w:w="100" w:type="dxa"/>
            <w:vAlign w:val="bottom"/>
            <w:shd w:val="clear" w:color="auto" w:fill="CFF0FC"/>
          </w:tcPr>
          <w:p>
            <w:pPr>
              <w:spacing w:after="0"/>
              <w:rPr>
                <w:sz w:val="19"/>
                <w:szCs w:val="19"/>
                <w:color w:val="auto"/>
              </w:rPr>
            </w:pP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Contract liabilities are comprised of deferred revenue related to multi-period licensing arrangements for which the Company is paid in advance, while the underlying performance obligation is satisfied at a future date or over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allowance for credit losses represents the Company’s best estimate of lifetime expected credit losses inherent in accounts receivable and unbilled contracts receivable. The Company’s long-term unbilled contracts receivable is derived from fixed-fee or minimum-guarantee Semiconductor IP licensing and is primarily comprised of contracts with large, well-capitalized companies. It is generally considered to be of high credit quality due to past collection history and the nature of the customers.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allowance for credit losses at September 30, 2026 and December 31, 2025 was $0.7 million and is presented as part of accounts receivable, net in the Condensed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Disclosures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additional revenue and contract disclosures (in thousands):</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8"/>
                <w:szCs w:val="18"/>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in the period from:</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4"/>
        </w:trPr>
        <w:tc>
          <w:tcPr>
            <w:tcW w:w="5180" w:type="dxa"/>
            <w:vAlign w:val="bottom"/>
          </w:tcPr>
          <w:p>
            <w:pPr>
              <w:ind w:left="100"/>
              <w:spacing w:after="0" w:line="164" w:lineRule="exact"/>
              <w:rPr>
                <w:sz w:val="20"/>
                <w:szCs w:val="20"/>
                <w:color w:val="auto"/>
              </w:rPr>
            </w:pPr>
            <w:r>
              <w:rPr>
                <w:rFonts w:ascii="Times New Roman" w:cs="Times New Roman" w:eastAsia="Times New Roman" w:hAnsi="Times New Roman"/>
                <w:sz w:val="18"/>
                <w:szCs w:val="18"/>
                <w:color w:val="auto"/>
              </w:rPr>
              <w:t>Amounts included in deferred revenue at the beginning of the period</w:t>
            </w:r>
          </w:p>
        </w:tc>
        <w:tc>
          <w:tcPr>
            <w:tcW w:w="40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4,973</w:t>
            </w:r>
          </w:p>
        </w:tc>
        <w:tc>
          <w:tcPr>
            <w:tcW w:w="680" w:type="dxa"/>
            <w:vAlign w:val="bottom"/>
            <w:gridSpan w:val="2"/>
          </w:tcPr>
          <w:p>
            <w:pPr>
              <w:jc w:val="right"/>
              <w:ind w:right="340"/>
              <w:spacing w:after="0" w:line="16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4,842</w:t>
            </w:r>
          </w:p>
        </w:tc>
        <w:tc>
          <w:tcPr>
            <w:tcW w:w="48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15,596</w:t>
            </w:r>
          </w:p>
        </w:tc>
        <w:tc>
          <w:tcPr>
            <w:tcW w:w="680" w:type="dxa"/>
            <w:vAlign w:val="bottom"/>
            <w:gridSpan w:val="2"/>
          </w:tcPr>
          <w:p>
            <w:pPr>
              <w:jc w:val="right"/>
              <w:ind w:right="3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15,495</w:t>
            </w:r>
          </w:p>
        </w:tc>
        <w:tc>
          <w:tcPr>
            <w:tcW w:w="100" w:type="dxa"/>
            <w:vAlign w:val="bottom"/>
          </w:tcPr>
          <w:p>
            <w:pPr>
              <w:spacing w:after="0"/>
              <w:rPr>
                <w:sz w:val="14"/>
                <w:szCs w:val="14"/>
                <w:color w:val="auto"/>
              </w:rPr>
            </w:pPr>
          </w:p>
        </w:tc>
      </w:tr>
      <w:tr>
        <w:trPr>
          <w:trHeight w:val="268"/>
        </w:trPr>
        <w:tc>
          <w:tcPr>
            <w:tcW w:w="5180" w:type="dxa"/>
            <w:vAlign w:val="bottom"/>
          </w:tcPr>
          <w:p>
            <w:pPr>
              <w:ind w:left="100"/>
              <w:spacing w:after="0" w:line="267" w:lineRule="exact"/>
              <w:rPr>
                <w:sz w:val="20"/>
                <w:szCs w:val="20"/>
                <w:color w:val="auto"/>
              </w:rPr>
            </w:pPr>
            <w:r>
              <w:rPr>
                <w:rFonts w:ascii="Times New Roman" w:cs="Times New Roman" w:eastAsia="Times New Roman" w:hAnsi="Times New Roman"/>
                <w:sz w:val="18"/>
                <w:szCs w:val="18"/>
                <w:color w:val="auto"/>
              </w:rPr>
              <w:t xml:space="preserve">Performance obligations satisfied in previous periods </w:t>
            </w:r>
            <w:r>
              <w:rPr>
                <w:rFonts w:ascii="Times New Roman" w:cs="Times New Roman" w:eastAsia="Times New Roman" w:hAnsi="Times New Roman"/>
                <w:sz w:val="24"/>
                <w:szCs w:val="24"/>
                <w:color w:val="auto"/>
                <w:vertAlign w:val="superscript"/>
              </w:rPr>
              <w:t>(1)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47,281</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0" w:lineRule="exact"/>
        <w:rPr>
          <w:sz w:val="20"/>
          <w:szCs w:val="20"/>
          <w:color w:val="auto"/>
        </w:rPr>
      </w:pPr>
    </w:p>
    <w:p>
      <w:pPr>
        <w:ind w:right="100" w:firstLine="8"/>
        <w:spacing w:after="0" w:line="255" w:lineRule="auto"/>
        <w:tabs>
          <w:tab w:leader="none" w:pos="185"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Performance obligations satisfied in previous periods consist mainly of fees associated with releases for past patent infringement, settlements of litigation during the period, and revenue from past royalties owed pursuant to expired or terminated IP license agreements. For long-term and multi-year revenue contracts, the Company recorded revenue from the releases for past infringement during the three and nine months ended September 30, 2026 and 2025 and expects to record revenue from the prospective license in future periods.</w:t>
      </w:r>
    </w:p>
    <w:p>
      <w:pPr>
        <w:spacing w:after="0" w:line="18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Remaining revenue under contracts with performance obligations represents the aggregate amount of the transaction price allocated to the performance obligations that are unsatisfied (or partially unsatisfied) under certain of the Company’s fixed fee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related to remaining performance obligations from contracts greater than one year in length is shown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contracts with performance obligations expected to be satisfied in:</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2026 (remaining 3 months)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54,376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COMPOSITION OF CERTAIN FINANCIAL STATEMENT CAPTIONS</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3,601</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10,185</w:t>
            </w:r>
          </w:p>
        </w:tc>
        <w:tc>
          <w:tcPr>
            <w:tcW w:w="140" w:type="dxa"/>
            <w:vAlign w:val="bottom"/>
            <w:shd w:val="clear" w:color="auto" w:fill="CFF0FC"/>
          </w:tcPr>
          <w:p>
            <w:pPr>
              <w:spacing w:after="0"/>
              <w:rPr>
                <w:sz w:val="21"/>
                <w:szCs w:val="21"/>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furniture and other</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19,825</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26,882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(20,148)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(19,109)</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6,734</w:t>
            </w:r>
          </w:p>
        </w:tc>
        <w:tc>
          <w:tcPr>
            <w:tcW w:w="140" w:type="dxa"/>
            <w:vAlign w:val="bottom"/>
            <w:shd w:val="clear" w:color="auto" w:fill="CFF0FC"/>
          </w:tcPr>
          <w:p>
            <w:pPr>
              <w:spacing w:after="0"/>
              <w:rPr>
                <w:sz w:val="21"/>
                <w:szCs w:val="21"/>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680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-3899535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-2073910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-2056765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-770890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-753745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 consisted of the following (in thousands):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7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4"/>
                <w:szCs w:val="24"/>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57,789</w:t>
            </w:r>
          </w:p>
        </w:tc>
        <w:tc>
          <w:tcPr>
            <w:tcW w:w="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52,127</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8"/>
                <w:szCs w:val="18"/>
                <w:color w:val="auto"/>
              </w:rPr>
            </w:pPr>
          </w:p>
        </w:tc>
      </w:tr>
      <w:tr>
        <w:trPr>
          <w:trHeight w:val="249"/>
        </w:trPr>
        <w:tc>
          <w:tcPr>
            <w:tcW w:w="7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60,569</w:t>
            </w:r>
          </w:p>
        </w:tc>
        <w:tc>
          <w:tcPr>
            <w:tcW w:w="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54,440</w:t>
            </w:r>
          </w:p>
        </w:tc>
        <w:tc>
          <w:tcPr>
            <w:tcW w:w="100" w:type="dxa"/>
            <w:vAlign w:val="bottom"/>
            <w:shd w:val="clear" w:color="auto" w:fill="CFF0FC"/>
          </w:tcPr>
          <w:p>
            <w:pPr>
              <w:spacing w:after="0"/>
              <w:rPr>
                <w:sz w:val="21"/>
                <w:szCs w:val="21"/>
                <w:color w:val="auto"/>
              </w:rPr>
            </w:pPr>
          </w:p>
        </w:tc>
      </w:tr>
      <w:tr>
        <w:trPr>
          <w:trHeight w:val="413"/>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51"/>
        </w:trPr>
        <w:tc>
          <w:tcPr>
            <w:tcW w:w="70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4"/>
                <w:szCs w:val="24"/>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2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21,692</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expenses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Current portion of guarantee </w:t>
            </w:r>
            <w:r>
              <w:rPr>
                <w:rFonts w:ascii="Times New Roman" w:cs="Times New Roman" w:eastAsia="Times New Roman" w:hAnsi="Times New Roman"/>
                <w:sz w:val="24"/>
                <w:szCs w:val="24"/>
                <w:color w:val="auto"/>
                <w:vertAlign w:val="superscript"/>
              </w:rPr>
              <w:t>(1)</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r>
      <w:tr>
        <w:trPr>
          <w:trHeight w:val="216"/>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24,334</w:t>
            </w:r>
          </w:p>
        </w:tc>
        <w:tc>
          <w:tcPr>
            <w:tcW w:w="20" w:type="dxa"/>
            <w:vAlign w:val="bottom"/>
          </w:tcPr>
          <w:p>
            <w:pPr>
              <w:spacing w:after="0"/>
              <w:rPr>
                <w:sz w:val="18"/>
                <w:szCs w:val="18"/>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34,250</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-1662430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-1645285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ind w:right="3640" w:firstLine="8"/>
        <w:spacing w:after="0" w:line="490" w:lineRule="auto"/>
        <w:tabs>
          <w:tab w:leader="none" w:pos="185"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Refer to “Note 14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for further detail on the nature of the guarantee. Other long-term liabilities consisted of the following (in thousands):</w:t>
      </w: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r>
      <w:tr>
        <w:trPr>
          <w:trHeight w:val="249"/>
        </w:trPr>
        <w:tc>
          <w:tcPr>
            <w:tcW w:w="4760" w:type="dxa"/>
            <w:vAlign w:val="bottom"/>
            <w:tcBorders>
              <w:bottom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Long-term portion of guarantee </w:t>
            </w:r>
            <w:r>
              <w:rPr>
                <w:rFonts w:ascii="Times New Roman" w:cs="Times New Roman" w:eastAsia="Times New Roman" w:hAnsi="Times New Roman"/>
                <w:sz w:val="24"/>
                <w:szCs w:val="24"/>
                <w:color w:val="auto"/>
                <w:vertAlign w:val="superscript"/>
              </w:rPr>
              <w:t>(1)</w:t>
            </w:r>
          </w:p>
        </w:tc>
        <w:tc>
          <w:tcPr>
            <w:tcW w:w="2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Refer to “Note 14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detail on the nature of the guarantee.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investments in debt securities, which include corporate bonds and notes, treasury and agency notes and bills, commercial paper, and in equity securities consisting of money market funds. The Company classifies its debt securities as available-for-sale (“AFS”), which are accounted for at fair value with credit related losses recognized as a provision for credit losses in its Condensed Consolidated Statements of Income and all non-credit related unrealized gains and losses recognized in accumulated other comprehensive income or loss on the Condensed Consolidated Balance Sheets. Under ASU 2016-01 (Topic 321), equity securities are measured at fair value with unrealized gains and losses recognized in other income and expense, net,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following is a summary of marketable securities at September 30, 2026 and December 31, 2025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September 30, 2026</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6"/>
                <w:szCs w:val="16"/>
                <w:color w:val="auto"/>
              </w:rPr>
            </w:pPr>
          </w:p>
        </w:tc>
        <w:tc>
          <w:tcPr>
            <w:tcW w:w="98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Allowance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Values</w:t>
            </w: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and agency notes and bills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63,918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Reported in:</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6"/>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vMerge w:val="continue"/>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6"/>
                <w:szCs w:val="16"/>
                <w:color w:val="auto"/>
              </w:rPr>
            </w:pPr>
          </w:p>
        </w:tc>
        <w:tc>
          <w:tcPr>
            <w:tcW w:w="98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Allowance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Values</w:t>
            </w: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6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53,685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and agency notes and bills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63,497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Reported in:</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-3625215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-3625215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-3625215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-3625215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-3625215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-3333750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-3333750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-3333750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-3333750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-2751455</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-1045210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-1045210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-1045210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-1045210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-1045210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-753745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-753745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-753745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-753745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At September 30, 2026 and December 31, 2025, the Company had $127.7 million and $136.7 million, respectively, in cash, cash equivalents and marketable securities. A significant portion of these amounts was held in marketable securities, as shown above. The remaining balances of $62.6 million and $72.9 million at September 30, 2026 and December 31, 2025, respectively, were cash held in operating accounts not included in the tables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gross realized gains and losses on sales of marketable debt securities were immaterial during the three and nine months ended September 30, 2026 and 2025. Unrealized gains and losses on AFS debt securities were immaterial as of September 30, 2026 and December 31, 2025. 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The Company did not recognize a provision for credit loss expense related to its AFS debt securities during the three and nine months ended September 30, 2026 and 2025.</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estimated fair value of marketable debt securities by contractual maturity at September 30, 2026 is shown below (in thousands). Actual maturities may differ from contractual maturities because issuers may have the right to call or prepay obligations without call or prepayment penalties.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7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09"/>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29,507</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Due in one to two years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100" w:type="dxa"/>
            <w:vAlign w:val="bottom"/>
          </w:tcPr>
          <w:p>
            <w:pPr>
              <w:spacing w:after="0"/>
              <w:rPr>
                <w:sz w:val="18"/>
                <w:szCs w:val="18"/>
                <w:color w:val="auto"/>
              </w:rPr>
            </w:pPr>
          </w:p>
        </w:tc>
      </w:tr>
      <w:tr>
        <w:trPr>
          <w:trHeight w:val="216"/>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two to three years</w:t>
            </w: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63,439</w:t>
            </w:r>
          </w:p>
        </w:tc>
        <w:tc>
          <w:tcPr>
            <w:tcW w:w="10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follows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spacing w:after="0" w:line="18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w:t>
      </w:r>
    </w:p>
    <w:p>
      <w:pPr>
        <w:spacing w:after="0" w:line="13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Observable market-based inputs or unobservable inputs that are corroborated by market data.</w:t>
      </w:r>
    </w:p>
    <w:p>
      <w:pPr>
        <w:spacing w:after="0" w:line="131" w:lineRule="exact"/>
        <w:rPr>
          <w:sz w:val="20"/>
          <w:szCs w:val="20"/>
          <w:color w:val="auto"/>
        </w:rPr>
      </w:pPr>
    </w:p>
    <w:p>
      <w:pPr>
        <w:ind w:left="1000" w:right="60" w:hanging="998"/>
        <w:spacing w:after="0" w:line="266" w:lineRule="auto"/>
        <w:tabs>
          <w:tab w:leader="none" w:pos="98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7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significant transfers into or out of Level 1 or Level 2 that occurred between December 31, 2025 and September 30, 2026.</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sets forth the fair value, and classification within the hierarchy, of the Company’s assets required to be measured at fair value on a recurring basis as of September 30, 2026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4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4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5"/>
        </w:trPr>
        <w:tc>
          <w:tcPr>
            <w:tcW w:w="4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1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 - equity securities</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 and notes - debt securities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Commercial paper - debt securities</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and agency notes and bills - debt securities</w:t>
            </w:r>
          </w:p>
        </w:tc>
        <w:tc>
          <w:tcPr>
            <w:tcW w:w="1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r>
      <w:tr>
        <w:trPr>
          <w:trHeight w:val="25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65,112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628"/>
        </w:trPr>
        <w:tc>
          <w:tcPr>
            <w:tcW w:w="476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493"/>
        </w:trPr>
        <w:tc>
          <w:tcPr>
            <w:tcW w:w="47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-744855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-744855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-744855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-762000</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7" w:name="page18"/>
    <w:bookmarkEnd w:id="17"/>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sets forth the fair value, and classification within the hierarchy, of the Company’s assets required to be measured at fair value on a recurring basis as of December 31, 2025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5"/>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1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 - equity securities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 and notes - debt securities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Commercial paper - debt securities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and agency notes and bills - debt securities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r>
      <w:tr>
        <w:trPr>
          <w:trHeight w:val="249"/>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63,797</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Recorded at Fair Value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long-term debt is carried at amortized cost and is measured at fair value on a quarterly basis for disclosure purposes. The fair value of the Company’s long-term debt approximates its carrying value as of each of the periods described below. The carrying amounts and estimated fair values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58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5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30"/>
        </w:trPr>
        <w:tc>
          <w:tcPr>
            <w:tcW w:w="58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Long-term debt, net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380,774</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380,298</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5"/>
              </w:rPr>
              <w:t>418,454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419,501</w:t>
            </w:r>
          </w:p>
        </w:tc>
        <w:tc>
          <w:tcPr>
            <w:tcW w:w="100" w:type="dxa"/>
            <w:vAlign w:val="bottom"/>
            <w:shd w:val="clear" w:color="auto" w:fill="CFF0FC"/>
          </w:tcPr>
          <w:p>
            <w:pPr>
              <w:spacing w:after="0"/>
              <w:rPr>
                <w:sz w:val="19"/>
                <w:szCs w:val="19"/>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180" w:firstLine="8"/>
        <w:spacing w:after="0" w:line="242" w:lineRule="auto"/>
        <w:tabs>
          <w:tab w:leader="none" w:pos="185"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Carrying amounts of long-term debt are net of unamortized debt discount and issuance costs of $5.7 million and $8.3 million as of September 30, 2026 and December 31, 2025, respectively. See “Note 8 –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for additional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reported at fair value in the Condensed Consolidated Balance Sheets, the Company’s debt would be classified within Level 2 of the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debt was estimated based on the quoted market prices for the same or similar issues.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received patent assets with an aggregate fair value of $2.0 million as noncash consideration under certain license agreements. The noncash consideration was received during the quarter ended June 30, 2026, and the Company determined the fair value of the patent assets at contract inception using both the market approach — estimating the value of the acquired assets by a way of comparison with other comparable transactions, and the cost approach — estimating the value of the acquired assets based on the cost the Company would incur to create a comparable set of assets through its own research and development (“R&amp;D”) and patent prosecution efforts.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Noncash consideration received in the form of patent assets is recorded as an intangible asset and included in the transaction price for revenue recognition purposes. See “Note 3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for a detailed discussion on revenue and revenue recognition. The estimated fair value of the patent assets represents a Level 3 fair value measurement, and the value of the patent assets is amortized as a noncash expense over the patents’ estimated useful lives. For impairment related fair value measurements, see “Note 7 – </w:t>
      </w:r>
      <w:r>
        <w:rPr>
          <w:rFonts w:ascii="Times New Roman" w:cs="Times New Roman" w:eastAsia="Times New Roman" w:hAnsi="Times New Roman"/>
          <w:sz w:val="18"/>
          <w:szCs w:val="18"/>
          <w:i w:val="1"/>
          <w:iCs w:val="1"/>
          <w:color w:val="auto"/>
        </w:rPr>
        <w:t>Goodwill And Identified Intangible Assets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receive noncash consideration during the nine months ended September 30,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7 – GOODWILL AND IDENTIFIED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carrying value of goodwill at September 30, 2026 and December 31, 2025 was $313.7 million. There were no changes to the carrying value of goodwill from January 1 through September 30, 2026. Goodwill at each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 No impairment charges were recognized during the three and nine months ended September 30, 2026 and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Identified Intangible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Identified intangible assets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2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4"/>
        </w:trPr>
        <w:tc>
          <w:tcPr>
            <w:tcW w:w="3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3"/>
          </w:tcPr>
          <w:p>
            <w:pPr>
              <w:jc w:val="center"/>
              <w:ind w:right="240"/>
              <w:spacing w:after="0" w:line="174" w:lineRule="exact"/>
              <w:rPr>
                <w:sz w:val="20"/>
                <w:szCs w:val="20"/>
                <w:color w:val="auto"/>
              </w:rPr>
            </w:pPr>
            <w:r>
              <w:rPr>
                <w:rFonts w:ascii="Times New Roman" w:cs="Times New Roman" w:eastAsia="Times New Roman" w:hAnsi="Times New Roman"/>
                <w:sz w:val="16"/>
                <w:szCs w:val="16"/>
                <w:b w:val="1"/>
                <w:bCs w:val="1"/>
                <w:color w:val="auto"/>
              </w:rPr>
              <w:t>Accumulate</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Accumulate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30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20" w:type="dxa"/>
            <w:vAlign w:val="bottom"/>
          </w:tcPr>
          <w:p>
            <w:pPr>
              <w:spacing w:after="0"/>
              <w:rPr>
                <w:sz w:val="17"/>
                <w:szCs w:val="17"/>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Amortizatio</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0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n</w:t>
            </w:r>
          </w:p>
        </w:tc>
        <w:tc>
          <w:tcPr>
            <w:tcW w:w="220" w:type="dxa"/>
            <w:vAlign w:val="bottom"/>
          </w:tcPr>
          <w:p>
            <w:pPr>
              <w:spacing w:after="0"/>
              <w:rPr>
                <w:sz w:val="18"/>
                <w:szCs w:val="18"/>
                <w:color w:val="auto"/>
              </w:rPr>
            </w:pPr>
          </w:p>
        </w:tc>
        <w:tc>
          <w:tcPr>
            <w:tcW w:w="7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19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Acquired patents / core technology</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3-10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754,948</w:t>
            </w:r>
          </w:p>
        </w:tc>
        <w:tc>
          <w:tcPr>
            <w:tcW w:w="5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(482,840)</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272,108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737,985</w:t>
            </w:r>
          </w:p>
        </w:tc>
        <w:tc>
          <w:tcPr>
            <w:tcW w:w="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(434,529)</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303,456</w:t>
            </w:r>
          </w:p>
        </w:tc>
        <w:tc>
          <w:tcPr>
            <w:tcW w:w="100" w:type="dxa"/>
            <w:vAlign w:val="bottom"/>
          </w:tcPr>
          <w:p>
            <w:pPr>
              <w:spacing w:after="0"/>
              <w:rPr>
                <w:sz w:val="17"/>
                <w:szCs w:val="17"/>
                <w:color w:val="auto"/>
              </w:rPr>
            </w:pPr>
          </w:p>
        </w:tc>
      </w:tr>
      <w:tr>
        <w:trPr>
          <w:trHeight w:val="189"/>
        </w:trPr>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contracts and related</w:t>
            </w: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relationships</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3"/>
              </w:rPr>
              <w:t>3-9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155,900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(155,900)</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(155,900)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Existing technology / content database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5-10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38,681</w:t>
            </w:r>
          </w:p>
        </w:tc>
        <w:tc>
          <w:tcPr>
            <w:tcW w:w="5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(38,681)</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38,681</w:t>
            </w:r>
          </w:p>
        </w:tc>
        <w:tc>
          <w:tcPr>
            <w:tcW w:w="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(38,681)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Trademarks/trade name</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5"/>
              </w:rPr>
              <w:t>4-10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(1,300)</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(1,300)</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0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intangible assets</w:t>
            </w:r>
          </w:p>
        </w:tc>
        <w:tc>
          <w:tcPr>
            <w:tcW w:w="102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950,829</w:t>
            </w:r>
          </w:p>
        </w:tc>
        <w:tc>
          <w:tcPr>
            <w:tcW w:w="5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(678,721)</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272,108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933,866</w:t>
            </w:r>
          </w:p>
        </w:tc>
        <w:tc>
          <w:tcPr>
            <w:tcW w:w="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(630,410)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303,456</w:t>
            </w:r>
          </w:p>
        </w:tc>
        <w:tc>
          <w:tcPr>
            <w:tcW w:w="100" w:type="dxa"/>
            <w:vAlign w:val="bottom"/>
          </w:tcPr>
          <w:p>
            <w:pPr>
              <w:spacing w:after="0"/>
              <w:rPr>
                <w:sz w:val="17"/>
                <w:szCs w:val="17"/>
                <w:color w:val="auto"/>
              </w:rPr>
            </w:pPr>
          </w:p>
        </w:tc>
      </w:tr>
      <w:tr>
        <w:trPr>
          <w:trHeight w:val="20"/>
        </w:trPr>
        <w:tc>
          <w:tcPr>
            <w:tcW w:w="3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5469890</wp:posOffset>
            </wp:positionH>
            <wp:positionV relativeFrom="paragraph">
              <wp:posOffset>-1477645</wp:posOffset>
            </wp:positionV>
            <wp:extent cx="93980" cy="5568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980" cy="55689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-1477645</wp:posOffset>
            </wp:positionV>
            <wp:extent cx="93980" cy="5568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3980" cy="5568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-1477645</wp:posOffset>
            </wp:positionV>
            <wp:extent cx="93980" cy="5568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3980" cy="55689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-162560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-162560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-162560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-162560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-162560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estimated future amortization expense of total finite-lived intangible assets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 3 months)</w:t>
            </w: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64,761</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59,717</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57,469</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32,043</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41,928</w:t>
            </w:r>
          </w:p>
        </w:tc>
        <w:tc>
          <w:tcPr>
            <w:tcW w:w="100" w:type="dxa"/>
            <w:vAlign w:val="bottom"/>
          </w:tcPr>
          <w:p>
            <w:pPr>
              <w:spacing w:after="0"/>
              <w:rPr>
                <w:sz w:val="18"/>
                <w:szCs w:val="18"/>
                <w:color w:val="auto"/>
              </w:rPr>
            </w:pPr>
          </w:p>
        </w:tc>
      </w:tr>
      <w:tr>
        <w:trPr>
          <w:trHeight w:val="249"/>
        </w:trPr>
        <w:tc>
          <w:tcPr>
            <w:tcW w:w="7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1"/>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DEBT</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outstanding amounts of debt were as follows (in thousands):</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4"/>
                <w:szCs w:val="24"/>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386,463</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426,728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2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(8,274)</w:t>
            </w:r>
          </w:p>
        </w:tc>
      </w:tr>
      <w:tr>
        <w:trPr>
          <w:trHeight w:val="210"/>
        </w:trPr>
        <w:tc>
          <w:tcPr>
            <w:tcW w:w="7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380,774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418,454</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net of debt discount and issuance costs</w:t>
            </w:r>
          </w:p>
        </w:tc>
        <w:tc>
          <w:tcPr>
            <w:tcW w:w="12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(20,975)</w:t>
            </w:r>
          </w:p>
        </w:tc>
      </w:tr>
      <w:tr>
        <w:trPr>
          <w:trHeight w:val="250"/>
        </w:trPr>
        <w:tc>
          <w:tcPr>
            <w:tcW w:w="73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359,789</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397,479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B</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2020 Credit Agreement dated June 1, 2020 (the “2020 Credit Agreement”), provides for a senior secured term loan B facility (the “Term Loan B”) with maturity on June 8, 2028.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ind w:right="20"/>
        <w:spacing w:after="0" w:line="261" w:lineRule="auto"/>
        <w:rPr>
          <w:sz w:val="20"/>
          <w:szCs w:val="20"/>
          <w:color w:val="auto"/>
        </w:rPr>
      </w:pPr>
      <w:r>
        <w:rPr>
          <w:rFonts w:ascii="Times New Roman" w:cs="Times New Roman" w:eastAsia="Times New Roman" w:hAnsi="Times New Roman"/>
          <w:sz w:val="18"/>
          <w:szCs w:val="18"/>
          <w:color w:val="auto"/>
        </w:rPr>
        <w:t>On May 20, 2024, the Company entered into Amendment No. 3 (“Amendment No. 3”) to the 2020 Credit Agreement, which provided for a repricing of the entire outstanding aggregate principal amount of $561.1 million. Amendment No. 3 also reduced the interest margins (50 basis points) from SOFR plus a margin of 3.50% per annum to SOFR plus a margin of 3.00% per annum or base rate plus a margin of 2.00% per annum. In addition, Amendment No. 3 lowered the excess cash flow mandatory payment thresholds and credit spread adjustment provision.</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January 30, 2025, the Company entered into Amendment No. 4 (“Amendment No. 4”) to the 2020 Credit Agreement, which provided for a repricing of the outstanding aggregate principal amount of $487.1 million. Amendment No. 4 further reduced the interest margins (50 basis points) to SOFR plus a margin of 2.50% per annum or base rate plus a margin of 1.50% per annum.</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obligations under the 2020 Credit Agreement, as amended, continue to be guaranteed by the Company’s wholly-owned material domestic subsidiaries (collectively, the “Guarantors”) and continue to be secured by a lien on substantially all assets of the Company and the Guarantors.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2020 Credit Agreement, as amended, contains customary events of default, representations, warranties, and affirmative and negative covenants. It also requires the Company to maintain a total net leverage ratio of no greater than 3.00x to access a basket for restricted payments (including dividends and share repurchases). As of September 30, 2026, the Company was in compliance with all requirements under the 2020 Credit Agreement, as amended.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2020 Credit Agreement, as amended, also requires the Company to continue to make cash payments on an annual basis based on certain leverage ratios and excess cash flow generated for the immediately preceding fiscal year. The cash payments are applied to the remaining principal balance due at final maturity. Based on certain leverage ratios and the voluntary prepayments the Company made during the year ended December 31, 2025, no excess cash flow payments are required for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Expected Principal Payments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September 30, 2026, the Company had $386.5 million in total debt outstanding. There were also $5.7 million of unamortized debt discount and issuance costs recorded as a reduction from the carrying amount of the debt. The interest rate on the Term Loan B as of September 30, 2026, including the amortization of debt discount and issuance costs, was 7.2% and interest is payable monthly.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September 30, 2026, future minimum principal payments for long-term debt, excluding any additional principal payment required by the excess cash flow provision, are summarized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 3 months)</w:t>
            </w:r>
          </w:p>
        </w:tc>
        <w:tc>
          <w:tcPr>
            <w:tcW w:w="5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5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5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500" w:type="dxa"/>
            <w:vAlign w:val="bottom"/>
            <w:vMerge w:val="restart"/>
          </w:tcPr>
          <w:p>
            <w:pPr>
              <w:jc w:val="right"/>
              <w:ind w:right="345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6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NET INCOME PER SHARE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net income per share (in thousands, except per share amounts):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42,406</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110,319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109,421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110,018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 Effect of dilutive securities associated with options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Add: Effect of dilutive securities associated with restricted stock awards and</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units</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Add: Effect of dilutive securities associated with employee stock purchase</w:t>
            </w: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program</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common shares – dilutive</w:t>
            </w: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114,254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112,823</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114,288</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112,676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9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9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employee stock-based awards, excluded</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-899795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-882650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-899795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-882650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-899795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-882650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-899795</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-882650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-599440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-582295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-599440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-582295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-599440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-582295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-299720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-282575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-299720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-282575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-282575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-282575</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during the period, excluding any unvested restricted stock awards that are subject to repurchase. Diluted net income per share is computed using the treasury stock method to calculate the weighted average number of shares of common stock and, if dilutive, potential common shares outstanding during the period. Potentially dilutive common shares include unvested restricted stock awards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2020 EIP</w:t>
      </w:r>
    </w:p>
    <w:p>
      <w:pPr>
        <w:spacing w:after="0" w:line="22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On June 1, 2020, the Company adopted the 2020 Equity Incentive Plan (the “2020 EIP”). Under the 2020 EIP, the Company may grant equity-based awards to employees, non-employee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w:t>
      </w:r>
    </w:p>
    <w:p>
      <w:pPr>
        <w:spacing w:after="0" w:line="1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At the Company’s 2024 Annual Stockholders Meeting on May 9, 2024, the Company’s stockholders approved an amendment and restatement of the 2020 EIP (the “A&amp;R 2020 EIP”), which provided for (i) an increase of the number of shares reserved for issuance by 8,900,000 shares of common stock (from an initial share reserve of 16,800,000 shares of common stock under the prior 2020 EIP to 25,700,000 shares of common stock under the amended and restated 2020 EIP) and (ii) the removal of the “fungible share ratio” for future awards, such that all equity awards granted on or after May 9, 2024 will count on a one-to-one basis against the number of shares authorized for issuance under the A&amp;R 2020 EIP (whereas each share granted pursuant to “full value” awards (i.e. stock awards, restricted stock awards, restricted stock units, performance awards and dividend equivalents) prior to May 9, 2024 are counted against shares available for issuance on a 1.5 to 1 ratio). At the Company’s 2026 Annual Stockholders Meeting on May 7, 2026, the Company’s stockholders approved an amendment to the A&amp;R 2020 EIP to increase the number of shares reserved for issuance by an additional 10,700,000 shares of common stock (for a total share reserve of 36,400,000). As of September 30, 2026, there were approximately 12.8 million shares reserved for future grants under the A&amp;R 2020 EIP, as amended.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1" w:name="page22"/>
    <w:bookmarkEnd w:id="21"/>
    <w:p>
      <w:pPr>
        <w:ind w:right="300"/>
        <w:spacing w:after="0" w:line="266" w:lineRule="auto"/>
        <w:rPr>
          <w:sz w:val="20"/>
          <w:szCs w:val="20"/>
          <w:color w:val="auto"/>
        </w:rPr>
      </w:pPr>
      <w:r>
        <w:rPr>
          <w:rFonts w:ascii="Times New Roman" w:cs="Times New Roman" w:eastAsia="Times New Roman" w:hAnsi="Times New Roman"/>
          <w:sz w:val="18"/>
          <w:szCs w:val="18"/>
          <w:color w:val="auto"/>
        </w:rPr>
        <w:t>The A&amp;R 2020 EIP, as amended, provides for option grants designed as either incentive stock options or non-statutory options. Options generally are granted with an exercise price not less than the value of the common stock on the grant date and have a term of ten years from the date of grant and vest over a four-year period.</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vesting criteria for restricted stock awards and restricted stock units is generally the passage of time or meeting certain performance-based objectives, and continued employment through the vesting period, which is generally four years for time-based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Assumed Plans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 and a contractual term of seven years. The Company has no stock options outstanding under the Assumed Plans as of September 30, 2026 or December 31, 2025, respectively. Awards of restricted stock and restricted stock units assumed from the Assumed Plans are generally subject to a four year vesting period. The Company has not issued any awards under these plans since the 2020 EIP was amended in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Information with respect to outstanding restricted stock awards (including both time-based vesting and performance-based vesting) as of September 30, 2026 is as follows (in thousands, except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Restricted Stock Awards</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58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6"/>
                <w:szCs w:val="16"/>
                <w:color w:val="auto"/>
              </w:rPr>
            </w:pPr>
          </w:p>
        </w:tc>
      </w:tr>
      <w:tr>
        <w:trPr>
          <w:trHeight w:val="203"/>
        </w:trPr>
        <w:tc>
          <w:tcPr>
            <w:tcW w:w="58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58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03"/>
        </w:trPr>
        <w:tc>
          <w:tcPr>
            <w:tcW w:w="58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Time-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Performance-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5"/>
        </w:trPr>
        <w:tc>
          <w:tcPr>
            <w:tcW w:w="586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based Vesting</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based Vesting</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00" w:type="dxa"/>
            <w:vAlign w:val="bottom"/>
          </w:tcPr>
          <w:p>
            <w:pPr>
              <w:spacing w:after="0"/>
              <w:rPr>
                <w:sz w:val="18"/>
                <w:szCs w:val="18"/>
                <w:color w:val="auto"/>
              </w:rPr>
            </w:pPr>
          </w:p>
        </w:tc>
      </w:tr>
      <w:tr>
        <w:trPr>
          <w:trHeight w:val="212"/>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vested / earned</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(2,278)</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(1,333)</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(3,611)</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Awards canceled / 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8"/>
                <w:szCs w:val="18"/>
                <w:color w:val="auto"/>
              </w:rPr>
            </w:pPr>
          </w:p>
        </w:tc>
      </w:tr>
      <w:tr>
        <w:trPr>
          <w:trHeight w:val="250"/>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 to 200 percent of the grant. 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 For performance-based awards incorporating a market condition, where the ultimate number of shares to be earned depends on the achievement of both performance and market conditions, the fair value is estimated on the date of grant using a Monte Carlo simulation model and the amount of compensation expense is adjusted if and when it is probable that the performance condition will be achieved.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22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2020 Employee Stock Purchase Plan (the “2020 ESPP”) provides eligible employees with the opportunity to acquire an ownership interest in the Company. The 2020 ESPP is implemented through consecutive overlapping 24-month offering periods, each of which is comprised of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there were 4.6 million shares reserved for grant under the Company’s 2020 ESPP.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Stockholders of the Company’s common stock are entitled to receive dividends if and when declared by the Company’s Board of Directors. For the periods ended September 30, 2026 and 2025, dividends declared were $0.05 per common share, respectively.</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capacity to pay dividends in the future depends on many factors, including the Company’s financial condition, results of operations, capital requirements, capital structure, industry practice and other business conditions that the Board of Directors considers relevant.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October 2024, the Company’s Board of Directors approved an increase to the existing share repurchase authorization of up to a total of $200.0 million. During the nine months ended September 30, 2026, the Company repurchased a total of approximately 0.8 million shares of its common stock, at an average price of $25.06 per share for a total cost of $20.0 million. These repurchases occurred during the six months ended June 30, 2026 and no repurchases were made during the three months ended September 30, 2026. During the nine months ended September 30, 2025, the Company repurchased a total of approximately 0.8 million shares of its common stock, at an average price of $13.18 per share for a total cost of $10.0 million. These repurchases occurred during the three months ended March 31, 2025. No repurchases were made from April 1 through September 30, 2025. The shares repurchased are recorded as treasury stock and are accounted for under the cost method.</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 expiration date has been specified for this plan. As of September 30, 2026, the total remaining amount available for repurchase under this plan was $140.0 million. The Company may execute authorized repurchases from time to time under the plan.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Condensed Consolidated Financial Statements because they reduce the number of shares that would have been issued on vesting. However, these withheld shares are not included in common stock repurchases under the Company’s authorized share repurchase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recording stock-based compensation expense for the three and nine months ended September 30, 2026 and 2025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09"/>
        </w:trPr>
        <w:tc>
          <w:tcPr>
            <w:tcW w:w="59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2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21,483</w:t>
            </w:r>
          </w:p>
        </w:tc>
        <w:tc>
          <w:tcPr>
            <w:tcW w:w="120" w:type="dxa"/>
            <w:vAlign w:val="bottom"/>
          </w:tcPr>
          <w:p>
            <w:pPr>
              <w:spacing w:after="0"/>
              <w:rPr>
                <w:sz w:val="18"/>
                <w:szCs w:val="18"/>
                <w:color w:val="auto"/>
              </w:rPr>
            </w:pPr>
          </w:p>
        </w:tc>
      </w:tr>
      <w:tr>
        <w:trPr>
          <w:trHeight w:val="22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29,854</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25,627</w:t>
            </w:r>
          </w:p>
        </w:tc>
        <w:tc>
          <w:tcPr>
            <w:tcW w:w="120" w:type="dxa"/>
            <w:vAlign w:val="bottom"/>
            <w:shd w:val="clear" w:color="auto" w:fill="CFF0FC"/>
          </w:tcPr>
          <w:p>
            <w:pPr>
              <w:spacing w:after="0"/>
              <w:rPr>
                <w:sz w:val="19"/>
                <w:szCs w:val="19"/>
                <w:color w:val="auto"/>
              </w:rPr>
            </w:pP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-24765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uses a Monte Carlo simulation to determine the grant date fair value of performance stock awards subject to market conditions, or market-based PSUs. The following assumptions were used to value the performance stock awards subject to market conditions granted during the nine months ended September 30, 2026 and 2025:</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3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7600" w:type="dxa"/>
            <w:vAlign w:val="bottom"/>
          </w:tcPr>
          <w:p>
            <w:pPr>
              <w:spacing w:after="0"/>
              <w:rPr>
                <w:sz w:val="20"/>
                <w:szCs w:val="20"/>
                <w:color w:val="auto"/>
              </w:rPr>
            </w:pPr>
          </w:p>
        </w:tc>
        <w:tc>
          <w:tcPr>
            <w:tcW w:w="234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Expected life (years)</w:t>
            </w: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1.9 - 2.8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- 3.5%</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- 1.3%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 - 50.6%</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Grants under the 2020 ESPP occur in June and December, as discussed in “Note 10 –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following assumptions were used to value the shares for these grants.</w:t>
      </w:r>
    </w:p>
    <w:p>
      <w:pPr>
        <w:spacing w:after="0" w:line="116"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r>
      <w:tr>
        <w:trPr>
          <w:trHeight w:val="209"/>
        </w:trPr>
        <w:tc>
          <w:tcPr>
            <w:tcW w:w="78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Expected life (years)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8"/>
                <w:szCs w:val="18"/>
                <w:color w:val="auto"/>
              </w:rPr>
            </w:pPr>
          </w:p>
        </w:tc>
      </w:tr>
      <w:tr>
        <w:trPr>
          <w:trHeight w:val="216"/>
        </w:trPr>
        <w:tc>
          <w:tcPr>
            <w:tcW w:w="7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2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8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Dividend yield</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7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54.1%</w:t>
            </w:r>
          </w:p>
        </w:tc>
        <w:tc>
          <w:tcPr>
            <w:tcW w:w="2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income tax provision and effective tax rate for interim periods are based on its estimated annual effective tax rate adjusted for discrete items during the period. For the three and nine months ended September 30, 2026, the Company recorded income tax expense of $0.5 million and $7.4 million, respectively. For the three and nine months ended September 30, 2025, the Company recorded income tax expense of $9.6 million and $2.6 million, respectively. The effective tax rate varies from the 21% U.S. federal tax rate primarily due to tax benefits related to stock-based compensation. The decrease in income tax expense for the three months ended September 30, 2026, as compared to the same period in the prior year, was primarily attributable to unrealized foreign exchange losses associated with South Korea withholding tax refund claims recognized in 2025. The increase in income tax expense for the nine months ended September 30, 2026, as compared to the same period in the prior year, was primarily attributable to unrealized foreign exchange gains associated with South Korea withholding tax refund claims recognized in 2025. The related income tax receivable was derecognized in the fourth quarter of 2025, and the associated foreign exchange gains and losses no longer impact the Company's income tax provision in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leases office and research facilities and office equipment under operating leases which expire through 2032. The Company’s leases have remaining lease terms of one to six years, some of which may include options to extend the leases for five years or longer, and some of which may include options to terminate the leases within the next five years or less. Leases with an initial term of 12 months or less are not recorded on the Condensed Consolidated Balance Sheets; 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components of operating lease costs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7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5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lease cost</w:t>
            </w:r>
          </w:p>
        </w:tc>
        <w:tc>
          <w:tcPr>
            <w:tcW w:w="98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30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8"/>
                <w:szCs w:val="18"/>
                <w:color w:val="auto"/>
              </w:rPr>
            </w:pPr>
          </w:p>
        </w:tc>
      </w:t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98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30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7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FF0FC"/>
          </w:tcPr>
          <w:p>
            <w:pPr>
              <w:spacing w:after="0"/>
              <w:rPr>
                <w:sz w:val="19"/>
                <w:szCs w:val="19"/>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 (in thousands, except lease term and discount rate):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520" w:type="dxa"/>
            <w:vAlign w:val="bottom"/>
          </w:tcPr>
          <w:p>
            <w:pPr>
              <w:spacing w:after="0"/>
              <w:rPr>
                <w:sz w:val="24"/>
                <w:szCs w:val="24"/>
                <w:color w:val="auto"/>
              </w:rPr>
            </w:pPr>
          </w:p>
        </w:tc>
        <w:tc>
          <w:tcPr>
            <w:tcW w:w="2340" w:type="dxa"/>
            <w:vAlign w:val="bottom"/>
            <w:gridSpan w:val="5"/>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40" w:type="dxa"/>
            <w:vAlign w:val="bottom"/>
            <w:gridSpan w:val="4"/>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8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5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5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8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gridSpan w:val="2"/>
          </w:tcPr>
          <w:p>
            <w:pPr>
              <w:spacing w:after="0"/>
              <w:rPr>
                <w:sz w:val="18"/>
                <w:szCs w:val="18"/>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w w:val="96"/>
              </w:rPr>
              <w:t>685</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18"/>
                <w:szCs w:val="18"/>
                <w:color w:val="auto"/>
              </w:rPr>
            </w:pPr>
          </w:p>
        </w:tc>
      </w:tr>
      <w:tr>
        <w:trPr>
          <w:trHeight w:val="345"/>
        </w:trPr>
        <w:tc>
          <w:tcPr>
            <w:tcW w:w="5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40" w:type="dxa"/>
            <w:vAlign w:val="bottom"/>
          </w:tcPr>
          <w:p>
            <w:pPr>
              <w:spacing w:after="0"/>
              <w:rPr>
                <w:sz w:val="24"/>
                <w:szCs w:val="24"/>
                <w:color w:val="auto"/>
              </w:rPr>
            </w:pPr>
          </w:p>
        </w:tc>
        <w:tc>
          <w:tcPr>
            <w:tcW w:w="218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6900" w:type="dxa"/>
            <w:vAlign w:val="bottom"/>
            <w:gridSpan w:val="4"/>
          </w:tcPr>
          <w:p>
            <w:pPr>
              <w:spacing w:after="0" w:line="20" w:lineRule="exact"/>
              <w:rPr>
                <w:sz w:val="1"/>
                <w:szCs w:val="1"/>
                <w:color w:val="auto"/>
              </w:rPr>
            </w:pPr>
          </w:p>
        </w:tc>
        <w:tc>
          <w:tcPr>
            <w:tcW w:w="1880" w:type="dxa"/>
            <w:vAlign w:val="bottom"/>
            <w:gridSpan w:val="5"/>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3"/>
        </w:trPr>
        <w:tc>
          <w:tcPr>
            <w:tcW w:w="9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Future minimum lease payments and related lease liabilities as of September 30, 2026 were as follows (in thousands):</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Operating Lease Payments</w:t>
            </w:r>
          </w:p>
        </w:tc>
      </w:tr>
      <w:tr>
        <w:trPr>
          <w:trHeight w:val="159"/>
        </w:trPr>
        <w:tc>
          <w:tcPr>
            <w:tcW w:w="5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832"/>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70"/>
        </w:trPr>
        <w:tc>
          <w:tcPr>
            <w:tcW w:w="5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r>
      <w:tr>
        <w:trPr>
          <w:trHeight w:val="210"/>
        </w:trPr>
        <w:tc>
          <w:tcPr>
            <w:tcW w:w="55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2026 (remaining 3 months) </w:t>
            </w:r>
            <w:r>
              <w:rPr>
                <w:rFonts w:ascii="Times New Roman" w:cs="Times New Roman" w:eastAsia="Times New Roman" w:hAnsi="Times New Roman"/>
                <w:sz w:val="24"/>
                <w:szCs w:val="24"/>
                <w:color w:val="auto"/>
                <w:vertAlign w:val="superscript"/>
              </w:rPr>
              <w:t>(2)</w:t>
            </w: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Pr>
          <w:p>
            <w:pPr>
              <w:spacing w:after="0"/>
              <w:rPr>
                <w:sz w:val="18"/>
                <w:szCs w:val="18"/>
                <w:color w:val="auto"/>
              </w:rPr>
            </w:pPr>
          </w:p>
        </w:tc>
      </w:tr>
      <w:tr>
        <w:trPr>
          <w:trHeight w:val="210"/>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(2,859)</w:t>
            </w:r>
          </w:p>
        </w:tc>
      </w:tr>
      <w:tr>
        <w:trPr>
          <w:trHeight w:val="210"/>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obligations under leases (accrued liabilities)</w:t>
            </w:r>
          </w:p>
        </w:tc>
        <w:tc>
          <w:tcPr>
            <w:tcW w:w="8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180" w:firstLine="8"/>
        <w:spacing w:after="0" w:line="242" w:lineRule="auto"/>
        <w:tabs>
          <w:tab w:leader="none" w:pos="185"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Future minimum lease payments exclude short-term leases as well as payments to landlords for variable common area maintenance, insurance and real estate taxes.</w:t>
      </w:r>
    </w:p>
    <w:p>
      <w:pPr>
        <w:spacing w:after="0" w:line="82"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tenant improvements allowance of $0.6 million in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and Other Contractual Obligations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agreements with third parties that include non-cancelable payment obligations, for which it is liable in future periods. These arrangements primarily include unconditional purchase obligations to service providers. As of September 30, 2026, the Company’s total future unconditional purchase obligations were approximately $7.4 million, including $1.9 million due in the remainder of 2026, $3.1 million due in 2027, and $2.4 million due thereafter.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the Separation, Adeia Media LLC, a subsidiary of the Company (“Adeia Media”), and a subsidiary of Xperi Inc.(“Xperi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and other minimum performance obligations under the Specified Agreement through 2031. Consequently, on October 1, 2022, the Company recognized a guarantee liability pursuant to ASC 460 “Guarantees” of $19.7 million, which represents the fair value of Adeia Media’s projected payments of such operating expenses during the term of the Cross Business Agreement. Subsequent changes to the carrying value of the guarantee are recognized as part of the Company’s results of operations. As of September 30, 2026 and December 31, 2025, the balance of the guarantee liability was $15.7 million and $16.3 million, respectively. Operating expense reimbursements are capped at a maximum of $7.5 million per annum. To date, such reimbursements have not been material.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each reporting period, the Company evaluates whether or not a potential loss amount or a potential range of losses is probable and reasonably estimable under the provisions of the authoritative guidance that addresses accounting for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related</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Company is unable to predict the final outcome of lawsuits, including patent infringement lawsuits, to which it is a party and therefore cannot determine the likelihood of loss nor estimate a range of possible losses. An adverse decision in any of these proceedings could significantly harm the Company's business and consolidated financial position, results of operations or cash flows.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involved in litigation matters and claims in the normal course of business. In the past, the Company and its subsidiaries have litigated to enforce their respective patents and other intellectual property rights, to enforce the terms of license agreements, to protect trade secrets, and to defend the Company’s patents against claims of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p>
      <w:pPr>
        <w:spacing w:after="0" w:line="22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one reportable segment: IP Licensing. The IP Licensing segment derives revenues from license agreements to (i) its media patent portfolio and (ii) its semiconductor technologies patent portfolio, see further discussion on revenue generating activities in “Note 3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The Company derives revenue primarily in North America and manages the business activities on a consolidated basis.</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accounting policies of the IP Licensing segment are the same as those described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Company’s Chief Executive Officer is also the chief operating decision maker (“CODM”) as defined by the authoritative guidance on segment reporting. The CODM assesses financial performance for the IP Licensing segment and decides how to allocate resources based on net income that also is reported on the statements of income as consolidated net income. Net income is also used by the CODM to monitor budget versus actual results of the IP Licensing segment. The measure of segment assets is reported on the balance sheet as total consolidated assets.</w:t>
      </w:r>
    </w:p>
    <w:p>
      <w:pPr>
        <w:spacing w:after="0" w:line="18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CODM uses net income to evaluate income generated from segment assets (return on assets) in deciding whether to reinvest profits into the IP Licensing segment or into other parts of the entity, such as for acquisitions or to return value to shareholders.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the Company’s IP Licensing segment revenue, significant expenses and income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8"/>
                <w:szCs w:val="18"/>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80,193</w:t>
            </w:r>
          </w:p>
        </w:tc>
        <w:tc>
          <w:tcPr>
            <w:tcW w:w="1200" w:type="dxa"/>
            <w:vAlign w:val="bottom"/>
            <w:gridSpan w:val="3"/>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87,339</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281,082</w:t>
            </w:r>
          </w:p>
        </w:tc>
        <w:tc>
          <w:tcPr>
            <w:tcW w:w="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260,744</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 related expense</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23,165</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70,806</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 portfolio expense</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Patent related technical sales support expense</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42,427</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Outside services expense</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expense</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w:t>
            </w:r>
          </w:p>
        </w:tc>
        <w:tc>
          <w:tcPr>
            <w:tcW w:w="10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Segment net income</w:t>
            </w:r>
          </w:p>
        </w:tc>
        <w:tc>
          <w:tcPr>
            <w:tcW w:w="9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42,406</w:t>
            </w: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37,364</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-170815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60" w:firstLine="8"/>
        <w:spacing w:after="0" w:line="242" w:lineRule="auto"/>
        <w:tabs>
          <w:tab w:leader="none" w:pos="185"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include facilities and other related expenses, marketing and advertising expenses, depreciation expense, travel and entertainment expenses, other income and expense, and other overhead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Geography and Customer Concentration</w:t>
      </w:r>
    </w:p>
    <w:p>
      <w:pPr>
        <w:spacing w:after="0" w:line="22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While the Company’s revenue is primarily derived in North America, a portion of the Company’s revenue is derived from licensees headquartered outside of the U.S., and it is expected that this revenue will continue to account for a portion of total revenue in future periods. Revenue is attributed to geographic locations based on the billing address of each customer. The table below lists the revenue by geography for the periods indicated (in thousands, except for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6"/>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1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1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66,212</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216,807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205,635</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8"/>
                <w:szCs w:val="18"/>
                <w:color w:val="auto"/>
              </w:rPr>
            </w:pP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Europe and Middle</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East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r>
      <w:tr>
        <w:trPr>
          <w:trHeight w:val="216"/>
        </w:trPr>
        <w:tc>
          <w:tcPr>
            <w:tcW w:w="1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260,744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-170815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-170815</wp:posOffset>
            </wp:positionV>
            <wp:extent cx="1111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-170815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-170815</wp:posOffset>
            </wp:positionV>
            <wp:extent cx="1111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-170815</wp:posOffset>
            </wp:positionV>
            <wp:extent cx="1111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 customer accounted for 10% or more of total revenue for the three months ended September 30, 2026. For the three months ended September 30, 2025, there were two customers that accounted for 10% or more of total revenue. For the nine months ended September 30, 2026 and 2025, one and two customers each accounted for 10% or more of total revenue, respectively. The following table sets forth revenue generated from customers which comprise 10% or more of total revenue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96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3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7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18"/>
                <w:szCs w:val="18"/>
                <w:color w:val="auto"/>
              </w:rPr>
            </w:pPr>
          </w:p>
        </w:tc>
      </w:tr>
      <w:tr>
        <w:trPr>
          <w:trHeight w:val="210"/>
        </w:trPr>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6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less than 10% of total revenue.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right="180"/>
        <w:spacing w:after="0" w:line="282" w:lineRule="auto"/>
        <w:rPr>
          <w:sz w:val="20"/>
          <w:szCs w:val="20"/>
          <w:color w:val="auto"/>
        </w:rPr>
      </w:pPr>
      <w:r>
        <w:rPr>
          <w:rFonts w:ascii="Times New Roman" w:cs="Times New Roman" w:eastAsia="Times New Roman" w:hAnsi="Times New Roman"/>
          <w:sz w:val="18"/>
          <w:szCs w:val="18"/>
          <w:color w:val="auto"/>
        </w:rPr>
        <w:t>At September 30, 2026, the Company had three customers representing 22%, 20% and 11% of aggregate accounts receivable, respectively. At December 31, 2025, the Company had one customer representing 63% of aggregate accounts receivable.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Geography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and December 31, 2025, property and equipment, net, was all located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Declaration of Cash Dividends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20, 2026, the Board declared a cash dividend of $0.05 per share of common stock, payable on December 14, 2026 to the stockholders of record at the close of business on November 23, 2026.</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promote understanding of the results of operations and financial condition and should be read in conjunction with our condensed consolidated financial statements and notes thereto, and with our audited financial statements and notes thereto for the year ended December 31, 2025 found in the Form 10-K filed by us on February 26, 2026 (the “Form 10-K”). This section of this Form 10-Q generally discusses quarter over quarter comparisons of 2026 against 2025.</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 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length of time it takes to enter into license agreements; the Company’s ability to retain and hire key personnel; uncertainty as to the long-term value of the Company’s common stock; the Company’s ability to pay dividends on a consistent basis or at all; legislative, regulatory, geopolitical and economic developments affecting the Company’s business; general economic and market developments and conditions; the Company’s ability to grow and expand its patent portfolios and expand into additional addressable markets; the Company’s success in defending its IP rights and the costs associated with such defense; changes in technology and development of new technology in the industries in which the Company operates; the evolving legal, regulatory and tax regimes under which the Company operates; unforeseen liabilities and expenses; the Company’s ability to carry out its share repurchase program and the timing of any such repurchases; risks associated with the Company’s indebtedness; unpredictability and severity of catastrophic events, including, but not limited to, acts of terrorism or outbreak of war or hostilities, natural disasters and global health pandemics, each of which may have an adverse impact on the Company’s business, results of operations, and financial condition.</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Although forward-looking statements in this Quarterly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hereof and other documents we file from time to time with the Securities and Exchange Commission (the “SEC”), such as our annual reports on Form 10-K, our quarterly reports on Form 10-Q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Quarterly Report and are based on information currently and reasonably known to us. We undertake no obligation to revise or update any forward-looking statements in order to reflect any event or circumstance that may arise after the date of this Quarterly Report, other than as required by law. Readers are urged to carefully review and consider the various disclosures made in this Quarterly Report, which attempt to advise interested parties of the risks and factors that may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Adeia Inc. (formerly known as Xperi Holding Corporation) (“Adeia”, “we”) develops foundational innovations that shape how the world computes, connects and experiences entertainment. Our inventions span a broad range of semiconductor and media technologies, including 3D interconnect (hybrid bonding) and advanced thermal management for AI datacenters, as well as content discovery, personalization, and streaming. These inventions are licensed to leaders across the chip design and manufacturing, consumer electronics, automotive, digital entertainment, and e-commerce industries. Adeia’s innovations enable more powerful and efficient products, and more immersive, personalized experiences across billions of devices worldwide.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right="140"/>
        <w:spacing w:after="0" w:line="282" w:lineRule="auto"/>
        <w:rPr>
          <w:sz w:val="20"/>
          <w:szCs w:val="20"/>
          <w:color w:val="auto"/>
        </w:rPr>
      </w:pPr>
      <w:r>
        <w:rPr>
          <w:rFonts w:ascii="Times New Roman" w:cs="Times New Roman" w:eastAsia="Times New Roman" w:hAnsi="Times New Roman"/>
          <w:sz w:val="18"/>
          <w:szCs w:val="18"/>
          <w:color w:val="auto"/>
        </w:rPr>
        <w:t>We believe our commitment to and investment in innovation has resulted in a leading IP licensing platform in these industries, with an extensive portfolio of media and semiconductor IP and over 14,500 media and semiconductor patent assets worldwide.</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innovations address one of the biggest consumer trends in entertainment today – the massive proliferation of entertainment content and the rapidly changing habits of how consumers are finding, engaging with and enjoying entertainment and evolving technology, such as artificial intelligence (“AI”).</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Headquartered in Silicon Valley with more than 35 years of operating experience, we have over 155 full-time employees, with substantially all of our employees located in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Macroeconomic conditions due to inflation, geopolitical instability and global health events have in the past, and may in the future have, an adverse impact on our business. Such conditions may cause volatility in the markets we serve, particularly the broad consumer electronics market. Impacts from adverse macroeconomic conditions may negatively impact our financial condition and results of operations, which could result in an impairment of our long-lived assets, including goodwill, and increased credit losses.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a significant portion of our revenue is derived from fixed-fee and minimum-guarantee arrangements from large, well-capitalized customers, our per-unit and variable-fee based revenue will continue to be susceptible to global health concerns, outbreaks, pandemics, armed conflict, geopolitical factors, trade regulations and tariffs, market volatility, increased interest rates, labor shortages, supply chain disruptions, microchip shortages, changes in demand for semiconductors and market downturns.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operate and report in one segment: IP Licensing. We believe that this structure reflects our current operational and financial management and provides the best structure for us to focus on growth opportunities. Our Chief Executive Officer has been determined to be the Chief Operating Decision Maker (“CODM”) in accordance with the authoritative guidance on segment reporting.</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primarily license our innovations to leading companies in the broader media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evaluating our financial condition and operating performance, we primarily focus on revenue and cash flows from operations. For the three and nine months ended September 30, 2026, as compared to the same periods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September 30, 2026</w:t>
      </w:r>
    </w:p>
    <w:p>
      <w:pPr>
        <w:spacing w:after="0" w:line="225"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$7.1 million, or 8.1%, from $87.3 million in 2025 to $80.2 million in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revenues decreased by $10.3 million, or 12.0% from $86.3 million in 2025 to $76.0 million in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revenues increased by $3.2 million, or 320.0% from $1.0 million in 2025 to $4.2 million in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decreased by $12.7 million, or 71.3% from $17.8 million in 2025 to $5.1 million in 2026.</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$6.1 million in principal payments towards our term loan, bringing the outstanding balance to $386.5 million as of September 30,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2026</w:t>
      </w:r>
    </w:p>
    <w:p>
      <w:pPr>
        <w:spacing w:after="0" w:line="22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$20.4 million, or 7.8%, from $260.7 million in 2025 to $281.1 million in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revenues decreased by $32.4 million, or 12.7% from $255.8 million in 2025 to $223.4 million in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revenues increased by $52.8 million, or 1077.6% from $4.9 million in 2025 to $57.7 million in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increased by $20.1 million, or 20.5% from $98.1 million in 2025 to $118.2 million in 2026.</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$40.3 million in principal payments towards our term loan, bringing the outstanding balance to $386.5 million as of September 30, 2026.</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$20.0 million of our common stock during the nine months ended September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 xml:space="preserve">We derive the majority of our revenue from the licensing of our IP rights to customers. For our revenue recognition policy, including descriptions of revenue-generating activities, refer to “Note 3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of the Notes to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as a percentage of revenue:</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0"/>
        </w:trPr>
        <w:tc>
          <w:tcPr>
            <w:tcW w:w="5720" w:type="dxa"/>
            <w:vAlign w:val="bottom"/>
          </w:tcPr>
          <w:p>
            <w:pPr>
              <w:spacing w:after="0"/>
              <w:rPr>
                <w:sz w:val="24"/>
                <w:szCs w:val="24"/>
                <w:color w:val="auto"/>
              </w:rPr>
            </w:pPr>
          </w:p>
        </w:tc>
        <w:tc>
          <w:tcPr>
            <w:tcW w:w="21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720" w:type="dxa"/>
            <w:vAlign w:val="bottom"/>
          </w:tcPr>
          <w:p>
            <w:pPr>
              <w:spacing w:after="0"/>
              <w:rPr>
                <w:sz w:val="20"/>
                <w:szCs w:val="20"/>
                <w:color w:val="auto"/>
              </w:rPr>
            </w:pPr>
          </w:p>
        </w:tc>
        <w:tc>
          <w:tcPr>
            <w:tcW w:w="21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7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r>
      <w:tr>
        <w:trPr>
          <w:trHeight w:val="209"/>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8"/>
                <w:szCs w:val="18"/>
                <w:color w:val="auto"/>
              </w:rPr>
            </w:pPr>
          </w:p>
        </w:tc>
      </w:tr>
      <w:tr>
        <w:trPr>
          <w:trHeight w:val="216"/>
        </w:trPr>
        <w:tc>
          <w:tcPr>
            <w:tcW w:w="6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r>
      <w:tr>
        <w:trPr>
          <w:trHeight w:val="216"/>
        </w:trPr>
        <w:tc>
          <w:tcPr>
            <w:tcW w:w="6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 expense</w:t>
            </w: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r>
      <w:tr>
        <w:trPr>
          <w:trHeight w:val="209"/>
        </w:trPr>
        <w:tc>
          <w:tcPr>
            <w:tcW w:w="57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r>
      <w:tr>
        <w:trPr>
          <w:trHeight w:val="216"/>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r>
      <w:tr>
        <w:trPr>
          <w:trHeight w:val="210"/>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-873760</wp:posOffset>
            </wp:positionV>
            <wp:extent cx="1111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-873760</wp:posOffset>
            </wp:positionV>
            <wp:extent cx="11112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-873760</wp:posOffset>
            </wp:positionV>
            <wp:extent cx="1111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-873760</wp:posOffset>
            </wp:positionV>
            <wp:extent cx="1117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1111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1111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1111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1111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1111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1111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for the three and nine months ended September 30, 2026 and 2025 (in thousands, except for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r>
      <w:tr>
        <w:trPr>
          <w:trHeight w:val="210"/>
        </w:trPr>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80,193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87,339</w:t>
            </w:r>
          </w:p>
        </w:tc>
        <w:tc>
          <w:tcPr>
            <w:tcW w:w="12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(7,146)</w:t>
            </w:r>
          </w:p>
        </w:tc>
        <w:tc>
          <w:tcPr>
            <w:tcW w:w="1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281,082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260,744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20,338</w:t>
            </w: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5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14605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decrease in revenue during the three months ended September 30, 2026, as compared to the same period in 2025, was primarily attributable to declines in royalty revenue from certain Pay-TV customers, partially offset by the execution of new license agreements after the third quarter of 2025 and in 2026. The increase in revenue during the nine months ended September 30, 2026, as compared to the same period in 2025, was primarily attributable to the execution of new license agreements in 2026; partially offset by declines in royalty revenue from certain Pay-TV customers.</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Recurring revenue for the three months ended September 30, 2026 and 2025 were $76.0 million and $86.3 million, respectively. The decrease of $10.3 million was driven primarily by declines in royalty revenue from certain Pay-TV customers; partially offset by the execution of license agreements with new customers after the third quarter of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right="100"/>
        <w:spacing w:after="0" w:line="266" w:lineRule="auto"/>
        <w:rPr>
          <w:sz w:val="20"/>
          <w:szCs w:val="20"/>
          <w:color w:val="auto"/>
        </w:rPr>
      </w:pPr>
      <w:r>
        <w:rPr>
          <w:rFonts w:ascii="Times New Roman" w:cs="Times New Roman" w:eastAsia="Times New Roman" w:hAnsi="Times New Roman"/>
          <w:sz w:val="18"/>
          <w:szCs w:val="18"/>
          <w:color w:val="auto"/>
        </w:rPr>
        <w:t>Non-recurring revenues for the three months ended September 30, 2026 and 2025 were $4.2 million and $1.0 million, respectively. The increase of $3.2 million was primarily driven by three license agreements executed during the third quarter of 2026, each of which included consideration for the release of past infringement of our IP, which was recognized in the respective quarter.</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Recurring revenue for the nine months ended September 30, 2026 and 2025 were $223.4 million and $255.8 million, respectively. The decrease of $32.4 million was driven primarily by declines in royalty revenue from certain Pay-TV customers; partially offset by the execution of license agreements with new customers after the third quarter of 2025.</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Non-recurring revenues for the nine months ended September 30, 2026 and 2025 were $57.7 million and $4.9 million, respectively. The increase of $52.8 million was primarily driven by seven agreements with new customers executed in 2026, each of which included consideration for the release of past infringement of our IP, and one renewal that included a catch-up payment for an out-of-license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(in thousands, except for percentages):</w:t>
      </w:r>
    </w:p>
    <w:p>
      <w:pPr>
        <w:spacing w:after="0" w:line="22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R&amp;D costs consist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costs are expensed as incurred. We intend to make a continued investment in our R&amp;D efforts because we believe they are essential to grow our patent portfolios to maintain and improve our competitiveness.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r>
      <w:tr>
        <w:trPr>
          <w:trHeight w:val="210"/>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16,040</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6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55,217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48,364</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21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-7620</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1111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increase in R&amp;D costs of $2.6 million, or 16%, and $6.9 million, or 14%, respectively, during the three and nine months ended September 30, 2026, as compared to the same periods in 2025, was primarily due to an increase in patent portfolio expenses and an increase in personnel related costs as a result of increased headcount.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(in thousands, except for percentages):</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personnel costs, sales commission, advertising, branding activities, stock-based compensation, professional services, facilities costs, and expenses related to our executive finance, human resource, legal, and information technology organizations.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9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Selling, general and</w:t>
            </w:r>
          </w:p>
        </w:tc>
        <w:tc>
          <w:tcPr>
            <w:tcW w:w="480" w:type="dxa"/>
            <w:vAlign w:val="bottom"/>
            <w:vMerge w:val="restart"/>
            <w:shd w:val="clear" w:color="auto" w:fill="CFF0FC"/>
          </w:tcPr>
          <w:p>
            <w:pPr>
              <w:spacing w:after="0"/>
              <w:rPr>
                <w:sz w:val="16"/>
                <w:szCs w:val="16"/>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29,002</w:t>
            </w:r>
          </w:p>
        </w:tc>
        <w:tc>
          <w:tcPr>
            <w:tcW w:w="220" w:type="dxa"/>
            <w:vAlign w:val="bottom"/>
            <w:vMerge w:val="restart"/>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24,920</w:t>
            </w:r>
          </w:p>
        </w:tc>
        <w:tc>
          <w:tcPr>
            <w:tcW w:w="46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600" w:type="dxa"/>
            <w:vAlign w:val="bottom"/>
            <w:gridSpan w:val="4"/>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89,816</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85,481</w:t>
            </w:r>
          </w:p>
        </w:tc>
        <w:tc>
          <w:tcPr>
            <w:tcW w:w="46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34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1"/>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480" w:type="dxa"/>
            <w:vAlign w:val="bottom"/>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460" w:type="dxa"/>
            <w:vAlign w:val="bottom"/>
            <w:gridSpan w:val="2"/>
            <w:vMerge w:val="continue"/>
            <w:shd w:val="clear" w:color="auto" w:fill="CFF0FC"/>
          </w:tcPr>
          <w:p>
            <w:pPr>
              <w:spacing w:after="0"/>
              <w:rPr>
                <w:sz w:val="19"/>
                <w:szCs w:val="19"/>
                <w:color w:val="auto"/>
              </w:rPr>
            </w:pPr>
          </w:p>
        </w:tc>
        <w:tc>
          <w:tcPr>
            <w:tcW w:w="580" w:type="dxa"/>
            <w:vAlign w:val="bottom"/>
            <w:vMerge w:val="continue"/>
            <w:shd w:val="clear" w:color="auto" w:fill="CFF0FC"/>
          </w:tcPr>
          <w:p>
            <w:pPr>
              <w:spacing w:after="0"/>
              <w:rPr>
                <w:sz w:val="19"/>
                <w:szCs w:val="19"/>
                <w:color w:val="auto"/>
              </w:rPr>
            </w:pPr>
          </w:p>
        </w:tc>
        <w:tc>
          <w:tcPr>
            <w:tcW w:w="1600" w:type="dxa"/>
            <w:vAlign w:val="bottom"/>
            <w:gridSpan w:val="4"/>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460" w:type="dxa"/>
            <w:vAlign w:val="bottom"/>
            <w:gridSpan w:val="2"/>
            <w:vMerge w:val="continue"/>
            <w:shd w:val="clear" w:color="auto" w:fill="CFF0FC"/>
          </w:tcPr>
          <w:p>
            <w:pPr>
              <w:spacing w:after="0"/>
              <w:rPr>
                <w:sz w:val="19"/>
                <w:szCs w:val="19"/>
                <w:color w:val="auto"/>
              </w:rPr>
            </w:pPr>
          </w:p>
        </w:tc>
        <w:tc>
          <w:tcPr>
            <w:tcW w:w="580" w:type="dxa"/>
            <w:vAlign w:val="bottom"/>
            <w:vMerge w:val="continue"/>
            <w:shd w:val="clear" w:color="auto" w:fill="CFF0FC"/>
          </w:tcPr>
          <w:p>
            <w:pPr>
              <w:spacing w:after="0"/>
              <w:rPr>
                <w:sz w:val="19"/>
                <w:szCs w:val="19"/>
                <w:color w:val="auto"/>
              </w:rPr>
            </w:pPr>
          </w:p>
        </w:tc>
        <w:tc>
          <w:tcPr>
            <w:tcW w:w="1340" w:type="dxa"/>
            <w:vAlign w:val="bottom"/>
            <w:gridSpan w:val="3"/>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1111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increase in SG&amp;A expense of $4.1 million, or 16%, during the three months ended September 30, 2026, as compared to the same period in 2025, was primarily due to an increase in personnel related costs as a result of increased headcount and an increase in outside service expenses.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increase in SG&amp;A expense of $4.3 million or 5%, during the nine months ended September 30, 2026, as compared to the same period in 2025, was primarily due to an increase in personnel related costs as a result of increased headcount, partially offset by a decrease in debt transaction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Amortization Expense (in thousands, except for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2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r>
      <w:tr>
        <w:trPr>
          <w:trHeight w:val="209"/>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14,175</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6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42,427</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20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-8255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-8255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1111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increase in amortization expense of $2.1 million, or 15%, and $5.9 million, or 14%, respectively, during the three and nine months ended September 30, 2026, as compared to the same periods in 2025, was primarily due to patents acquired in 2025 and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Expense (in thousands, except for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2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expense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6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18,223</w:t>
            </w:r>
          </w:p>
        </w:tc>
        <w:tc>
          <w:tcPr>
            <w:tcW w:w="70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1111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The increase in litigation expense of $2.0 million, or 38%, and $0.3 million, or 1%, respectively, for the three and nine months ended September 30, 2026, as compared to the same periods in 2025, was primarily due to increased expense associated with new litigation matters, partially offset by a decrease in expense associated with certain matters that have settled. See Part II, Item 1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for additional information regarding these matters.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We expect that litigation expense will continue to be a significant portion of our operating expenses, as it is used to enforce and protect our IP and contract rights. Litigation expense may fluctuate between periods because of planned or ongoing litigation, as described in Part II, Item 1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 thousands, except for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1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1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18"/>
                <w:szCs w:val="18"/>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8"/>
                <w:szCs w:val="18"/>
                <w:color w:val="auto"/>
              </w:rPr>
            </w:pPr>
          </w:p>
        </w:tc>
      </w:tr>
      <w:tr>
        <w:trPr>
          <w:trHeight w:val="210"/>
        </w:trPr>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10,054</w:t>
            </w: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(2,003)</w:t>
            </w:r>
          </w:p>
        </w:tc>
        <w:tc>
          <w:tcPr>
            <w:tcW w:w="14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30,919</w:t>
            </w:r>
          </w:p>
        </w:tc>
        <w:tc>
          <w:tcPr>
            <w:tcW w:w="12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(6,287)</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17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14605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of $2.0 million, or 20%, and $6.3 million, or 20%, respectively, during the three and nine months ended September 30, 2026, as compared to the same periods in 2025, was primarily due to lower debt balance.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 Net (in thousands, except for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2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r>
      <w:tr>
        <w:trPr>
          <w:trHeight w:val="210"/>
        </w:trPr>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and expense, net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70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8"/>
              </w:rPr>
              <w:t>4,622</w:t>
            </w:r>
          </w:p>
        </w:tc>
        <w:tc>
          <w:tcPr>
            <w:tcW w:w="72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1111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Other income and expense, net during the three and nine months ended September 30, 2026, as compared to the same periods in 2025, was relatively consistent.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Provision for Income Taxes (in thousands, except for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2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2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r>
      <w:tr>
        <w:trPr>
          <w:trHeight w:val="210"/>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8"/>
              </w:rPr>
              <w:t>9,603</w:t>
            </w:r>
          </w:p>
        </w:tc>
        <w:tc>
          <w:tcPr>
            <w:tcW w:w="12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(9,092)</w:t>
            </w:r>
          </w:p>
        </w:tc>
        <w:tc>
          <w:tcPr>
            <w:tcW w:w="1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8"/>
              </w:rPr>
              <w:t>2,588</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r>
      <w:tr>
        <w:trPr>
          <w:trHeight w:val="20"/>
        </w:trPr>
        <w:tc>
          <w:tcPr>
            <w:tcW w:w="2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14605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income tax provision for interim periods is based on the estimated annual effective tax rate adjusted for discrete items during the period. For the three months ended September 30, 2026, we recorded income tax expense of $0.5 million on pretax income of $2.8 million, and for the nine months ended September 30, 2026, we recorded income tax expense of $7.4 million on pretax income of $49.8 million, which resulted in effective tax rates of 18.4% and 14.8%, respectively, for the three and nine months ended September 30, 2026. The effective tax rate varies from the 21% U.S. federal tax rate primarily due to tax benefits related to stock-based compensation.</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we recorded an income tax expense of $9.6 million on pretax income of $18.4 million, and for the nine months ended September 30, 2025, we recorded an income tax expense of $2.6 million on pretax income of $40.0 million, which resulted in effective tax rates of 52.1% and 6.5%, respectively, for the three and nine months ended September 30, 2025.</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decrease in income tax expense for the three months ended September 30, 2026, as compared to the same period in the prior year, was primarily attributable to unrealized foreign exchange losses associated with South Korea withholding tax refund claims recognized in 2025. The increase in income tax expense for the nine months ended September 30, 2026, as compared to the same period in the prior year, was primarily attributable to unrealized foreign exchange gains associated with South Korea withholding tax refund claims recognized in 2025. The related income tax receivable was derecognized in the fourth quarter of 2025, and the associated foreign exchange gains and losses no longer impact our income tax provision in 2026.</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periodically evaluate the realizability of our net deferred tax assets based on all available evidence, both positive and negative. After considering the evidence to assess the recoverability of our net deferred tax assets, we concluded that it was more-likely-than-not that we would realize our federal and certain state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related to our liquidity and significant sources and uses of cash and cash equivalents as of and for the nine months ended September 30, 2026 and 2025:</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64,308</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127,747</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8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42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9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118,245</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98,088</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(17,304)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(34,376)</w:t>
            </w: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9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(109,769)</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(86,447)</w:t>
            </w:r>
          </w:p>
        </w:tc>
      </w:tr>
      <w:tr>
        <w:trPr>
          <w:trHeight w:val="648"/>
        </w:trPr>
        <w:tc>
          <w:tcPr>
            <w:tcW w:w="4240" w:type="dxa"/>
            <w:vAlign w:val="bottom"/>
          </w:tcPr>
          <w:p>
            <w:pPr>
              <w:spacing w:after="0"/>
              <w:rPr>
                <w:sz w:val="24"/>
                <w:szCs w:val="24"/>
                <w:color w:val="auto"/>
              </w:rPr>
            </w:pPr>
          </w:p>
        </w:tc>
        <w:tc>
          <w:tcPr>
            <w:tcW w:w="24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4" w:name="page35"/>
    <w:bookmarkEnd w:id="34"/>
    <w:p>
      <w:pPr>
        <w:ind w:right="100"/>
        <w:spacing w:after="0" w:line="277" w:lineRule="auto"/>
        <w:rPr>
          <w:sz w:val="20"/>
          <w:szCs w:val="20"/>
          <w:color w:val="auto"/>
        </w:rPr>
      </w:pPr>
      <w:r>
        <w:rPr>
          <w:rFonts w:ascii="Times New Roman" w:cs="Times New Roman" w:eastAsia="Times New Roman" w:hAnsi="Times New Roman"/>
          <w:sz w:val="17"/>
          <w:szCs w:val="17"/>
          <w:color w:val="auto"/>
        </w:rPr>
        <w:t>Our primary sources of liquidity and capital resources are our operating cash flows and our short-term investments in marketable securities. Cash, cash equivalents and marketable securities were $127.7 million and $136.7 million at September 30, 2026 and December 31, 2025, respectively. The change in cash, cash equivalents and marketable securities in the nine months ended September 30, 2026 included $118.2 million of cash generated from operations, partially offset by $40.3 million in repayment of our long-term debt, $34.4 million in repurchases of common stock associated with tax withholdings on equity awards, $20.0 million in repurchases of common stock, $16.6 million in dividends paid, and $15.0 million in purchases of intangible assets.</w:t>
      </w:r>
    </w:p>
    <w:p>
      <w:pPr>
        <w:spacing w:after="0" w:line="6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information about our material cash requirements, see “Liquidity and Capital Resources” in Part II, Item 7 of our Annual Report on Form 10-K for the year ended December 31, 2025. Other than the principal payments of $40.3 million made by us under the existing Term Loan B during the nine months ended September 30, 2026, our cash requirements have not materially changed since December 31, 2025. We expect to continue to make additional payments on our existing debt from cash generated from operations.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to the cash requirements outlined above, we have returned cash to stockholders through both quarterly dividend payments and repurchases of our common stock under our stock repurchase plan.</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covenants that would restrict our operations. Our capital allocation priorities remain focused on reducing outstanding indebtedness, returning capital to stockholders through our quarterly dividend program and as opportunity arises through our share repurchase program, and continued investment in the growth of our patent portfolio, while maintaining liquidity to support our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Dividends</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September 2026 and 2025, we paid a quarterly dividend of $0.05 per share. In October 2026, our Board authorized payment of a quarterly cash dividend of $0.05 per share, to be paid in December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Plan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October 2024, our Board of Directors approved an increase to the existing share repurchase authorization up to a total of $200.0 million. The stock repurchases may be made from time to time, through solicited or unsolicited transactions in the open market, in privately negotiated transactions, or pursuant to a Rule 10b5-1 plan. During the nine months ended September 30, 2026, we repurchased a total of approximately 0.8 million shares of common stock, at an average price of $25.06 per share for a total cost of $20.0 million. These repurchases occurred during the six months ended June 30, 2026, and no repurchases were made during the three months ended September 30, 2026. During the nine months ended September 30, 2025, we repurchased a total of approximately 0.8 million shares of common stock, at an average price of $13.18 per share for a total cost of $10.0 million. These purchases occurred during the three months ended March 31, 2025. No repurchases were made from April 1 through September 30, 2025. As of September 30, 2026, the total remaining amount available for repurchase under this plan was $140.0 million.</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may continue to execute authorized repurchases from time to time under our existing stock repurchase plan. The amount and timing of any repurchases under the stock repurchase plan depend on a number of factors, including, but not limited to, the trading price, volume and availability of our common shares. There is no guarantee that such repurchases under the stock repurchase plan will enhance the value of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Cash flows provided by operations were $118.2 million for the nine months ended September 30, 2026, primarily due to our net income of $42.4 million being adjusted for noncash items of amortization of intangible assets of $48.3 million, stock-based compensation expense of $29.9 million, and $(0.5) million in changes in operating assets and liabilities including payment during the period of employee bonuses earned in 2025.</w:t>
      </w:r>
    </w:p>
    <w:p>
      <w:pPr>
        <w:spacing w:after="0" w:line="17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Cash flows provided by operations were $98.1 million for the nine months ended September 30, 2025, primarily due to our net income of $37.4 million being adjusted for noncash items of amortization of intangible assets of $42.4 million, stock-based compensation expense of $25.6 million, and $(13.2) million in changes in operating assets and liabilities including payment during the period of employee bonuses earned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$17.3 million for the nine months ended September 30, 2026, primarily due to purchases of short-term investments in marketable securities of $27.3 million, purchases of intangible assets of $15.0 million, and proceeds from maturities of marketable securities of $27.1 million.</w:t>
      </w:r>
    </w:p>
    <w:p>
      <w:pPr>
        <w:spacing w:after="0" w:line="68"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$34.4 million for the nine months ended September 30, 2025, primarily due to purchases of short-term investments in marketable securities of $46.3 million, purchases of intangible assets of $6.1 million, partially offset by proceeds from maturities of marketable securities of $18.2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capital expenditures for property and equipment consist primarily of leasehold improvements, purchases of computer hardware and software, information systems, and production and test equipment. During the nine months ended September 30, 2026 and 2025, we spent $2.1 million and $1.2 million on capital expenditures, respectively. Our capital expenditures for intangible assets consist primarily of acquired patents. During the nine months ended September 30, 2026 and 2025, we spent $15.0 million and $6.1 million on purchases of intangible assets, respectively. There can be no assurance that current expectations will be realized, and plans are subject to change upon further review of our capital expenditure needs.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$109.8 million for the nine months ended September 30, 2026, primarily due to $40.3 million in repayment of indebtedness, $16.6 million in dividends paid, $34.4 million in repurchases of common stock for tax withholdings on equity awards, and $20.0 million in repurchases of common stock.</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$86.4 million for the nine months ended September 30, 2025, primarily due to $39.3 million in repayment of indebtedness, $16.3 million in dividends paid, $20.9 million in repurchases of common stock for tax withholdings on equity awards, and $11.3 million in repurchases of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2020 Credit Agreement dated June 1, 2020 (the “2020 Credit Agreement”), provides for a senior secured term loan B facility (the “Term Loan B”) with maturity on June 8, 2028.</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20, 2024, we entered into Amendment No. 3 (“Amendment No. 3”) to the 2020 Credit Agreement, which provided for a repricing of the entire outstanding aggregate principal amount of $561.1 million. Amendment No. 3 also reduced interest margins (50 basis points) from SOFR plus a margin of 3.50% to SOFR plus a margin of 3.00% per annum or base rate plus a margin of 2.00% per annum. In addition, Amendment No. 3 lowered the excess cash flow mandatory payment thresholds and credit spread adjustment provision.</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January 30, 2025, we entered into Amendment No. 4 (“Amendment No. 4”) to the 2020 Credit Agreement, which provided for a repricing of the entire outstanding aggregate principal amount of $487.1 million. Amendment No. 4 further reduced the interest margins (50 basis points) to SOFR plus a margin of 2.50% per annum or base rate plus a margin of 1.50% per annum.</w:t>
      </w:r>
    </w:p>
    <w:p>
      <w:pPr>
        <w:spacing w:after="0" w:line="176"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obligations under the 2020 Credit Agreement, as amended, continue to be guaranteed by our wholly-owned material domestic subsidiaries (collectively, the “Guarantors”) and continue to be secured by a lien on substantially all our assets and those of the Guarantors.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6" w:name="page37"/>
    <w:bookmarkEnd w:id="36"/>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September 30, 2026, $386.5 million was outstanding under the term loan B facility. In addition, we had $5.7 million of unamortized debt discount and issuance costs recorded as a reduction from the carrying amount of the debt. The interest rate on the Term Loan B, including the amortization of debt discount and issuance costs, was 7.2% and interest is payable monthly.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existing loan agreement, we have future minimum principal payments for our debt of $6.1 million in the remainder of 2026, $24.4 million in 2027, with the remaining principal balance of $356.0 million due June 8, 2028. The 2020 Credit Agreement, as amended, also requires that we continue to make cash payments on an annual basis based on certain leverage ratios and excess cash flow generated for the immediately preceding fiscal year. The cash payments are applied to the remaining principal balance due at final maturity. Based on certain leverage ratios and the voluntary prepayments we made during the year ended December 31, 2025, no excess cash flow payment is required in 2026. The term loan B facility contains customary covenants, and as of September 30, 2026, we were in full compliance with such covenants.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2026, there were no significant changes in our critical accounting policies and estimates. See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Notes to Condensed Consolidated Financial Statements for additional detail. For a discussion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critical accounting policies and estimates, see Part II, Item 7 –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See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Condensed Consolidated Financial Statements for a full description of recent accounting pronouncements including the respective expected dates of adoption.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our market risk, see Part II, Item 7A –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our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Attached as exhibits to this Form 10-Q are certifications of Adeia Inc.’s Chief Executive Officer and Chief Financial Officer, which are required in accordance with Rule 13a-14 of the Exchange Act. This “Controls and Procedures” section includes information concerning the controls and controls evaluation referred to in the certifications and it should be read in conjunction with the certifications for a more complete understanding of the topics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report (the evaluation date). Based on this evaluation, our Chief Executive Officer and Chief Financial Officer concluded as of the evaluation date that our disclosure controls and procedures were effective to provide reasonable assurance that the information relating to Adeia Inc., including our consolidated subsidiaries, required to be disclosed in our SEC reports (i) is recorded, processed, summarized and reported within the time periods specified in SEC rules and forms, and (ii) is accumulated and communicated to Adeia Inc.’s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during the last fiscal quarter covered by this Quarterly Report on Form 10-Q that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are involved in legal proceedings. In the past, we have litigated to enforce our patents, to enforce the terms of license agreements, and to defend our patents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Infringement Litigation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Office’s Patent Trial and Appeal Board (and other similar post-grant proceedings outside of the U.S.) seeking to invalidate one or more of our patents. We are currently engaged in multiple lawsuits with several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Videotron Patent Infringement Litigation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21, 2021, Adeia Guides Inc. (formerly known as Rovi Guides, Inc.) (“Adeia Guides”) filed a patent infringement complaint against Videotron Ltd. (“Videotron”) in Toronto, Canada, alleging infringement of four patents (the “Videotron Litigation”). The trial commenced on February 3, 2025. On October 24, 2025, the Federal Court of Canada issued a decision in the case and awarded Adeia Guides a permanent injunction, finding that Videotron’s Helix, illico+ and illico video platforms infringe an Adeia Guides patent. The Court also ruled that Videotron’s Helix video platform infringes an additional Adeia Guides patent and awarded Adeia Guides damages for both patents. Two other patents asserted in the case were found invalid. On November 24, 2025, Adeia Guides filed a Notice of Appeal with the Federal Court of Appeal of Canada appealing portions of the decision of the Federal Court of Canada. On December 4, 2025, Videotron filed a Notice of Cross-Appeal. No date has been set yet for a hearing on the appeal.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Bell Patent Infringement Litigation</w:t>
      </w:r>
    </w:p>
    <w:p>
      <w:pPr>
        <w:spacing w:after="0" w:line="22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On July 27, 2021, Adeia Guides and Adeia Media Holdings LLC (formerly known as TiVo LLC) (together,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(the “Bell Litigation”). On September 30, 2022, Defendants filed a motion for bifurcation, asking the Federal Court of Canada to bifurcate the case into two phases: a first phase related to liability and injunction and second phase addressing damages if liability is found. On February 15, 2023, the Court issued an order granting the motion for bifurcation in which the Court bifurcated the liability and injunction phase from the damages quantification phase of the case. The trial commenced on April 28, 2025. Closing arguments were held June 2-4, 2025. The matter is awaiting the Court’s decision.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Shaw Breach of Contract Litigation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October 2, 2023, Adeia Guides Inc., Adeia Media Solutions Inc., and Adeia Media Holdings LLC (collectively, “Adeia Media”) filed a complaint against Shaw Cablesystems G.P. and Shaw Satellite G.P. (together “Shaw”) in the United States District Court for the Southern District of New York, alleging breach of contract by Shaw for failure to pay royalties owed to Adeia Media under the license agreement between the parties. On October 8, 2024, Shaw filed a motion to dismiss the complaint. On September 29, 2025, the Court denied Shaw’s motion to dismiss Adeia Media Companies’ breach of contract claim and granted Shaw’s motion to dismiss the declaratory relief claim as duplicative. On October 14, 2025, Shaw filed its answer to the complaint. Discovery is ongoing and no trial date has been set.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DIRECTV 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NDCA Declaratory Judgment Action</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December 29, 2025, DIRECTV LLC (“DIRECTV”) filed a complaint against Adeia Inc., Adeia Guides Inc., Adeia Media Holdings LLC, Adeia Technologies Inc. and Adeia Media Solutions Inc. (collectively, “Adeia Media”) in the United States District Court for the Northern District of California seeking a declaratory judgment of noninfringement of seven Adeia Media patents and a declaratory judgment of invalidity of three Adeia Media patents (“NDCA DJ Action”). On March 13, 2026, Adeia Media filed a motion to dismiss the NDCA DJ Action. On June 18, 2026, the Court granted Adeia Media’s motion with leave to amend the complaint. On July 21, 2026, DIRECTV filed its First Amended Complaint (“FAC”). On August 4, 2026, Adeia Media filed a motion to dismiss DIRECTV’S FAC. On October 6, 2026, the Court granted Adeia Media’s motion to dismiss and terminated the case.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SDNY Breach of Contract and Misappropriation of Trade Secrets Action</w:t>
      </w:r>
    </w:p>
    <w:p>
      <w:pPr>
        <w:spacing w:after="0" w:line="2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January 12, 2026, Adeia Media filed a complaint against DIRECTV in the United States District Court for the Southern District of New York alleging breach of contract and misappropriation of trade secrets under the Defend Trade Secrets Act (“DTSA”). On January 15, 2026, Adeia Media filed a Motion for Preliminary Injunction (“PI Motion”), requesting that the Court order DIRECTV to withdraw the NDCA DJ Action and cease its misuse of Adeia Media’s confidential information. On July 2, 2026, the Court issued an order denying the PI Motion. On August 3, 2026, Adeia Media filed a notice of appeal with the United States Court of Appeals for the Second Circuit from the Court’s order denying the PI Motion. On June 4, 2026, DIRECTV filed a motion to dismiss the DTSA claim, and on July 16, 2026, Adeia filed its opposition. The motion is pending. On October 14, 2026, DIRECTV filed a motion for summary judgment (“MSJ”) against each of Adeia Media’s breach of contract and DTSA trade secret misappropriation claims. The trial date has not been set.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CDCA Patent Infringement Litigation</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July 2, 2026, Adeia Media Holdings Inc. and Adeia Technologies Inc. (collectively, “Adeia”) filed a complaint against DIRECTV, LLC in the United States District Court for the Central District of California alleging that DIRECTV infringes four patents. On September 22, 2026, DIRECTV filed a motion to dismiss Adeia’s complaint. The trial date has not been 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DISH 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Colorado Patent Infringement Litigation</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Adeia Technologies Inc., Adeia Media Holdings Inc., and Adeia Media Solutions Inc. (collectively, “Adeia”) filed a complaint against DISH Network Corp., DISH Media Sales LLC, DISH DBS Corp., EchoStar Corp., Sling TV LLC, and Sling TV Holding LLC (collectively, the “DISH Defendants”) in the United States District Court for the District of Colorado on April 1, 2026 (EDT), from and after which time the DISH Defendants were unlicensed to Adeia’s patents, alleging the DISH Defendants infringe five patents. On June 30, 2026, certain DISH parties filed for Chapter 11 bankruptcy protection. As a result, this case has been stayed automatically pending the completion of the bankruptcy proceedings. On October 1, 2026, the DISH Defendants emerged from Chapter 11 bankruptcy. As a result, the stay was automatically lifted. The trial date has not been 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NDCA Declaratory Judgment Action</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DISH Network LLC and Sling TV LLC (collectively, the “DISH Plaintiffs”) filed a complaint against Adeia Inc., Adeia Guides Inc., Adeia Media Holdings Inc., Adeia Technologies Inc., and Adeia Media Solutions Inc. (collectively, “Adeia Media”) in the United States District Court for the Northern District of California on April 1, 2026 seeking a declaratory judgment of noninfringement and/or invalidity of ten Adeia Media patents. On June 30, 2026, certain DISH parties filed for Chapter 11 bankruptcy protection. On July 9, 2026, the Court issued an order staying this case pending the completion of the DISH bankruptcy proceedings. On October 1, 2026, the DISH Plaintiffs emerged from Chapter 11 bankruptcy. On October 13, 2026, the Court granted the parties’ joint stipulation to lift the stay. The trial date has not been set.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Fubo Litigation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July 1, 2026, Adeia Media Holdings Inc. (“Adeia”) filed a complaint against FuboTV Inc., Fubo Operations LLC, Fubo Services LLC, and FuboTV Media LLC (f/k/a FuboTV Media Inc.) (collectively, “Fubo”) in the United States District Court for the District of Delaware alleging infringement of four patents. The trial date has not been set.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risk factors previously disclosed in Part 1, Item 1A. of our Annual Report on Form 10-K for the year ended December 31, 2025, which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there were no Rule 10b5-1 plans or non-Rule 10b5-1 trading arrangements adopted, modified or terminated by any director or officer of the Company.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010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10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430">
              <w:r>
                <w:rPr>
                  <w:rFonts w:ascii="Times New Roman" w:cs="Times New Roman" w:eastAsia="Times New Roman" w:hAnsi="Times New Roman"/>
                  <w:sz w:val="18"/>
                  <w:szCs w:val="18"/>
                  <w:color w:val="0000FF"/>
                  <w:w w:val="99"/>
                </w:rPr>
                <w:t>Form of Severance Agreement, between the Registrant and each of Keith Jones, Kevin Tanji, and Mark Kokes (incorporated by reference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430">
              <w:r>
                <w:rPr>
                  <w:rFonts w:ascii="Times New Roman" w:cs="Times New Roman" w:eastAsia="Times New Roman" w:hAnsi="Times New Roman"/>
                  <w:sz w:val="18"/>
                  <w:szCs w:val="18"/>
                  <w:color w:val="0000FF"/>
                  <w:w w:val="99"/>
                </w:rPr>
                <w:t>Exhibit 10.1 to Registrant's Quarterly Report on Form 10-Q filed August 5, 2026)+</w:t>
              </w:r>
            </w:hyperlink>
          </w:p>
        </w:tc>
        <w:tc>
          <w:tcPr>
            <w:tcW w:w="20" w:type="dxa"/>
            <w:vAlign w:val="bottom"/>
            <w:tcBorders>
              <w:bottom w:val="single" w:sz="8" w:color="0000EE"/>
            </w:tcBorders>
          </w:tcPr>
          <w:p>
            <w:pPr>
              <w:spacing w:after="0"/>
              <w:rPr>
                <w:sz w:val="17"/>
                <w:szCs w:val="17"/>
                <w:color w:val="auto"/>
              </w:rPr>
            </w:pPr>
          </w:p>
        </w:tc>
        <w:tc>
          <w:tcPr>
            <w:tcW w:w="40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6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Severance Agreement, dated October 12, 2026, between the Registrant and Dipti Vachani*+</w:t>
            </w:r>
          </w:p>
        </w:tc>
        <w:tc>
          <w:tcPr>
            <w:tcW w:w="20" w:type="dxa"/>
            <w:vAlign w:val="bottom"/>
            <w:tcBorders>
              <w:bottom w:val="single" w:sz="8" w:color="0000EE"/>
            </w:tcBorders>
          </w:tcPr>
          <w:p>
            <w:pPr>
              <w:spacing w:after="0"/>
              <w:rPr>
                <w:sz w:val="24"/>
                <w:szCs w:val="24"/>
                <w:color w:val="auto"/>
              </w:rPr>
            </w:pPr>
          </w:p>
        </w:tc>
        <w:tc>
          <w:tcPr>
            <w:tcW w:w="3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7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Offer Letter Agreement, dated September 26, 2026, between Adeia Guides Inc. and Dipti Vachani*+</w:t>
            </w:r>
          </w:p>
        </w:tc>
        <w:tc>
          <w:tcPr>
            <w:tcW w:w="28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72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Consulting Agreement, dated September 25, 2026, between Adeia Guides Inc. and Paul E. Davis*+</w:t>
            </w:r>
          </w:p>
        </w:tc>
        <w:tc>
          <w:tcPr>
            <w:tcW w:w="29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8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13a-14(a) of the Securities Exchange Act of 1934</w:t>
            </w:r>
          </w:p>
        </w:tc>
        <w:tc>
          <w:tcPr>
            <w:tcW w:w="2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of the Securities Exchange Act of 1934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80" w:type="dxa"/>
            <w:vAlign w:val="bottom"/>
            <w:tcBorders>
              <w:right w:val="single" w:sz="8" w:color="0000FF"/>
            </w:tcBorders>
            <w:gridSpan w:val="5"/>
            <w:shd w:val="clear" w:color="auto" w:fill="0000FF"/>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Rule 13a-14(b) of the Securities Exchange Act of 1934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and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80" w:type="dxa"/>
            <w:vAlign w:val="bottom"/>
            <w:tcBorders>
              <w:right w:val="single" w:sz="8" w:color="0000EE"/>
            </w:tcBorders>
            <w:gridSpan w:val="5"/>
            <w:shd w:val="clear" w:color="auto" w:fill="0000FF"/>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7"/>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2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ADEIA INC.</w:t>
      </w:r>
    </w:p>
    <w:p>
      <w:pPr>
        <w:spacing w:after="0" w:line="252" w:lineRule="exact"/>
        <w:rPr>
          <w:sz w:val="20"/>
          <w:szCs w:val="20"/>
          <w:color w:val="auto"/>
        </w:rPr>
      </w:pPr>
    </w:p>
    <w:tbl>
      <w:tblPr>
        <w:tblLayout w:type="fixed"/>
        <w:tblInd w:w="61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Keith A. Jones</w:t>
            </w:r>
          </w:p>
        </w:tc>
      </w:tr>
      <w:tr>
        <w:trPr>
          <w:trHeight w:val="191"/>
        </w:trPr>
        <w:tc>
          <w:tcPr>
            <w:tcW w:w="560" w:type="dxa"/>
            <w:vAlign w:val="bottom"/>
          </w:tcPr>
          <w:p>
            <w:pPr>
              <w:spacing w:after="0"/>
              <w:rPr>
                <w:sz w:val="16"/>
                <w:szCs w:val="16"/>
                <w:color w:val="auto"/>
              </w:rPr>
            </w:pPr>
          </w:p>
        </w:tc>
        <w:tc>
          <w:tcPr>
            <w:tcW w:w="45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Keith A. Jones</w:t>
            </w:r>
          </w:p>
        </w:tc>
      </w:tr>
      <w:tr>
        <w:trPr>
          <w:trHeight w:val="234"/>
        </w:trPr>
        <w:tc>
          <w:tcPr>
            <w:tcW w:w="560" w:type="dxa"/>
            <w:vAlign w:val="bottom"/>
          </w:tcPr>
          <w:p>
            <w:pPr>
              <w:spacing w:after="0"/>
              <w:rPr>
                <w:sz w:val="20"/>
                <w:szCs w:val="20"/>
                <w:color w:val="auto"/>
              </w:rPr>
            </w:pP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ind w:left="9600"/>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AMENDED AND RESTATED SEVERANCE AGREEMENT</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This Amended and Restated Severance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by and between Adeia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effective as of [•], 2026 (such date,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For purposes of this Agreement,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mean the Company and any successor to the Company’s business and/or assets which assumes and agrees to perform this Agreement by operation of law or otherwise. This Agreement amends and restates and supersedes in its entirety the Severance Agreement by and between the Company and Executive, effective as of February 9, 2023 (the “</w:t>
      </w:r>
      <w:r>
        <w:rPr>
          <w:rFonts w:ascii="Times New Roman" w:cs="Times New Roman" w:eastAsia="Times New Roman" w:hAnsi="Times New Roman"/>
          <w:sz w:val="22"/>
          <w:szCs w:val="22"/>
          <w:b w:val="1"/>
          <w:bCs w:val="1"/>
          <w:i w:val="1"/>
          <w:iCs w:val="1"/>
          <w:color w:val="auto"/>
        </w:rPr>
        <w:t>Prior Agreement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agree as follows:</w:t>
      </w:r>
    </w:p>
    <w:p>
      <w:pPr>
        <w:spacing w:after="0" w:line="206" w:lineRule="exact"/>
        <w:rPr>
          <w:sz w:val="20"/>
          <w:szCs w:val="20"/>
          <w:color w:val="auto"/>
        </w:rPr>
      </w:pPr>
    </w:p>
    <w:p>
      <w:pPr>
        <w:ind w:left="1020" w:hanging="263"/>
        <w:spacing w:after="0"/>
        <w:tabs>
          <w:tab w:leader="none" w:pos="10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following terms shall have the following meanings:</w:t>
      </w:r>
    </w:p>
    <w:p>
      <w:pPr>
        <w:spacing w:after="0" w:line="20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Firm</w:t>
      </w:r>
      <w:r>
        <w:rPr>
          <w:rFonts w:ascii="Times New Roman" w:cs="Times New Roman" w:eastAsia="Times New Roman" w:hAnsi="Times New Roman"/>
          <w:sz w:val="22"/>
          <w:szCs w:val="22"/>
          <w:color w:val="auto"/>
        </w:rPr>
        <w:t>” has the meaning ascribed to such term in Section 3(g)(ii).</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Accrued Obligations</w:t>
      </w:r>
      <w:r>
        <w:rPr>
          <w:rFonts w:ascii="Times New Roman" w:cs="Times New Roman" w:eastAsia="Times New Roman" w:hAnsi="Times New Roman"/>
          <w:sz w:val="22"/>
          <w:szCs w:val="22"/>
          <w:color w:val="auto"/>
        </w:rPr>
        <w:t>” has the meaning ascribed to such term in Section 3(a)(i).</w:t>
      </w:r>
    </w:p>
    <w:p>
      <w:pPr>
        <w:spacing w:after="0" w:line="206"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with respect to any entity, any other entity that, directly or indirectly, controls, is controlled by or is under common control with, such entity. An entity is regarded as in control of another entity if it (i) owns or controls, directly or indirectly, more than 50% of the total combined voting power of such entity, (ii) has the right to appoint directors entitled to cast a majority of the votes on each matter presented to the board of directors or other governing body of such entity or (iii) has the power to direct or cause the direction of the management or policies of such entity, whether through the ownership of voting securities, by contract or otherwise.</w:t>
      </w:r>
    </w:p>
    <w:p>
      <w:pPr>
        <w:spacing w:after="0" w:line="17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has the meaning ascribed to such term in the preamble.</w:t>
      </w:r>
    </w:p>
    <w:p>
      <w:pPr>
        <w:spacing w:after="0" w:line="206"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means Executive’s annual gross base salary from the Company or a Subsidiary for the applicable fiscal year before any deductions, exclusions, deferrals, or contributions on a tax-qualified or non-tax-qualified basis under any plan or program of the Company or a Subsidiary, and excluding bonuses and incentive compensation. If Executive is employed for less than a complete fiscal year, Base Salary for the fiscal year shall be the annualized gross base salary (subject to the adjustments described in the preceding sentence) based on Executive’s highest base salary rate during such fiscal year. Base Salary shall be determined under this Section 1(e) in accordance with the personnel records and established practices and procedures of the Company.</w:t>
      </w:r>
    </w:p>
    <w:p>
      <w:pPr>
        <w:spacing w:after="0" w:line="17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firstLine="1505"/>
        <w:spacing w:after="0" w:line="264" w:lineRule="auto"/>
        <w:tabs>
          <w:tab w:leader="none" w:pos="203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any of the following: (i) Executive’s gross negligence or willful misconduct in the performance of his or her duties to the Company and its Affiliates; (ii)</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4" w:name="page45"/>
    <w:bookmarkEnd w:id="44"/>
    <w:p>
      <w:pPr>
        <w:ind w:right="20"/>
        <w:spacing w:after="0" w:line="253" w:lineRule="auto"/>
        <w:rPr>
          <w:sz w:val="20"/>
          <w:szCs w:val="20"/>
          <w:color w:val="auto"/>
        </w:rPr>
      </w:pPr>
      <w:r>
        <w:rPr>
          <w:rFonts w:ascii="Times New Roman" w:cs="Times New Roman" w:eastAsia="Times New Roman" w:hAnsi="Times New Roman"/>
          <w:sz w:val="21"/>
          <w:szCs w:val="21"/>
          <w:color w:val="auto"/>
        </w:rPr>
        <w:t>Executive’s willful and habitual neglect of or failure to perform Executive’s duties of consulting or employment (which neglect or failure is not caused by Executive’s illness or mental or physical disability), which neglect or failure is not cured within thirty</w:t>
      </w:r>
    </w:p>
    <w:p>
      <w:pPr>
        <w:spacing w:after="0" w:line="1" w:lineRule="exact"/>
        <w:rPr>
          <w:sz w:val="20"/>
          <w:szCs w:val="20"/>
          <w:color w:val="auto"/>
        </w:rPr>
      </w:pPr>
    </w:p>
    <w:p>
      <w:pPr>
        <w:jc w:val="both"/>
        <w:ind w:firstLine="8"/>
        <w:spacing w:after="0" w:line="231" w:lineRule="auto"/>
        <w:tabs>
          <w:tab w:leader="none" w:pos="42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written notice thereof is received by Executive (it being agreed that a failure of the Company and its Affiliates to meet performance objectives shall not, alone, constitute a failure by Executive to perform his duties); (iii) Executive’s commission of any material act of fraud, dishonesty or financial or accounting impropriety with respect to the Company and its Affiliates which results in a personal benefit to Executive; (iv) Executive’s failure to cooperate with the Company and its Affiliates in any investigation or formal proceeding initiated by a governmental authority or otherwise approved by the Board or the Audit Committee of the Board (which failure is not caused by Executive’s illness or mental or physical disability), which failure is not cured within thirty (30) days after written notice thereof is received by Executive; (v) Executive’s conviction of or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felony criminal conduct (other than moving vehicle violations); (vi) Executive’s material violation of the Company’s Confidentiality and Proprietary Rights Agreement (as defined below) or similar agreement that Executive has entered into with the Company; or (vii) Executive’s material breach of any obligation or duty under this Agreement or material violation of any written employment or other Company policies that have previously been furnished to Executive, which breach or violation is not cured within thirty (30) days after written notice thereof is received by Executive, if such breach or violation is capable of being cured.</w:t>
      </w:r>
    </w:p>
    <w:p>
      <w:pPr>
        <w:spacing w:after="0" w:line="17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and includes each of the following:</w:t>
      </w:r>
    </w:p>
    <w:p>
      <w:pPr>
        <w:spacing w:after="0" w:line="212"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fifty percent (50%) of the total combined voting power of the Company’s securities outstanding immediately after such acquisition; or</w:t>
      </w:r>
    </w:p>
    <w:p>
      <w:pPr>
        <w:spacing w:after="0" w:line="17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80" w:lineRule="exact"/>
        <w:rPr>
          <w:rFonts w:ascii="Times New Roman" w:cs="Times New Roman" w:eastAsia="Times New Roman" w:hAnsi="Times New Roman"/>
          <w:sz w:val="22"/>
          <w:szCs w:val="22"/>
          <w:color w:val="auto"/>
        </w:rPr>
      </w:pPr>
    </w:p>
    <w:p>
      <w:pPr>
        <w:jc w:val="both"/>
        <w:ind w:firstLine="3003"/>
        <w:spacing w:after="0" w:line="238" w:lineRule="auto"/>
        <w:tabs>
          <w:tab w:leader="none" w:pos="3564" w:val="left"/>
        </w:tabs>
        <w:numPr>
          <w:ilvl w:val="3"/>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2"/>
          <w:szCs w:val="22"/>
          <w:b w:val="1"/>
          <w:bCs w:val="1"/>
          <w:i w:val="1"/>
          <w:iCs w:val="1"/>
          <w:color w:val="auto"/>
        </w:rPr>
        <w:t>Successor Entity</w:t>
      </w:r>
      <w:r>
        <w:rPr>
          <w:rFonts w:ascii="Times New Roman" w:cs="Times New Roman" w:eastAsia="Times New Roman" w:hAnsi="Times New Roman"/>
          <w:sz w:val="22"/>
          <w:szCs w:val="22"/>
          <w:color w:val="auto"/>
        </w:rPr>
        <w:t>”)) directly or indirectly, at least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22"/>
          <w:szCs w:val="22"/>
          <w:color w:val="auto"/>
        </w:rPr>
        <w:t>a majority of the combined voting power of the Successor Entity’s outstanding voting securities immediately after the transaction, and</w:t>
      </w:r>
    </w:p>
    <w:p>
      <w:pPr>
        <w:spacing w:after="0" w:line="158" w:lineRule="exact"/>
        <w:rPr>
          <w:sz w:val="20"/>
          <w:szCs w:val="20"/>
          <w:color w:val="auto"/>
        </w:rPr>
      </w:pPr>
    </w:p>
    <w:p>
      <w:pPr>
        <w:jc w:val="both"/>
        <w:ind w:firstLine="3003"/>
        <w:spacing w:after="0" w:line="255" w:lineRule="auto"/>
        <w:tabs>
          <w:tab w:leader="none" w:pos="3564"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which no person or group beneficially owns voting securities representing fifty percent (50%) or more of the combined voting power of the Successor Entity;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person or group shall be treated for purposes of this Section 1(h)(ii)(B) as beneficially owning fifty percent (50%) or more of combined voting power of the Successor Entity solely as a result of the voting power held in the Company prior to the consummation of the transaction.</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Notwithstanding the foregoing, to the extent required by Section 409A of the Code, if a Change in Control would give rise to a payment or benefit event with respect to any payment or benefit hereunder that constitutes “nonqualified deferred compensation,” the transaction or event constituting the Change in Control must also constitute a “change in control event” (as defined in Treasury Regulation §1.409A-3(i)(5)) in order to give rise to the payment or benefit, to the extent required by Section 409A of the Code.</w:t>
      </w:r>
    </w:p>
    <w:p>
      <w:pPr>
        <w:spacing w:after="0" w:line="171" w:lineRule="exact"/>
        <w:rPr>
          <w:sz w:val="20"/>
          <w:szCs w:val="20"/>
          <w:color w:val="auto"/>
        </w:rPr>
      </w:pPr>
    </w:p>
    <w:p>
      <w:pPr>
        <w:jc w:val="both"/>
        <w:ind w:firstLine="1505"/>
        <w:spacing w:after="0" w:line="241" w:lineRule="auto"/>
        <w:tabs>
          <w:tab w:leader="none" w:pos="203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CIC Qualifying Termination</w:t>
      </w:r>
      <w:r>
        <w:rPr>
          <w:rFonts w:ascii="Times New Roman" w:cs="Times New Roman" w:eastAsia="Times New Roman" w:hAnsi="Times New Roman"/>
          <w:sz w:val="22"/>
          <w:szCs w:val="22"/>
          <w:color w:val="auto"/>
        </w:rPr>
        <w:t>” means the termination of Executive’s employment by the Company and its Subsidiaries without Cause, or by Executive for Good Reason, within three (3) months prior to a Change in Control or within twelve (12) months following a Change in Control. It is intended that any CIC Qualifying Termination shall be a Separation from Service.</w:t>
      </w:r>
    </w:p>
    <w:p>
      <w:pPr>
        <w:spacing w:after="0" w:line="17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means the Consolidated Omnibus Budget Reconciliation Act of 1985, as amended.</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COBRA Coverage Period</w:t>
      </w:r>
      <w:r>
        <w:rPr>
          <w:rFonts w:ascii="Times New Roman" w:cs="Times New Roman" w:eastAsia="Times New Roman" w:hAnsi="Times New Roman"/>
          <w:sz w:val="22"/>
          <w:szCs w:val="22"/>
          <w:color w:val="auto"/>
        </w:rPr>
        <w:t>” has the meaning ascribed to such term in Section 3(a)(iii).</w:t>
      </w:r>
    </w:p>
    <w:p>
      <w:pPr>
        <w:spacing w:after="0" w:line="206" w:lineRule="exact"/>
        <w:rPr>
          <w:rFonts w:ascii="Times New Roman" w:cs="Times New Roman" w:eastAsia="Times New Roman" w:hAnsi="Times New Roman"/>
          <w:sz w:val="22"/>
          <w:szCs w:val="22"/>
          <w:color w:val="auto"/>
        </w:rPr>
      </w:pPr>
    </w:p>
    <w:p>
      <w:pPr>
        <w:ind w:right="20" w:firstLine="1505"/>
        <w:spacing w:after="0" w:line="264" w:lineRule="auto"/>
        <w:tabs>
          <w:tab w:leader="none" w:pos="203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and the Treasury Regulations and other interpretive guidance thereunder.</w:t>
      </w:r>
    </w:p>
    <w:p>
      <w:pPr>
        <w:spacing w:after="0" w:line="14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the meaning ascribed to such term in the preamble.</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Date of Termination</w:t>
      </w:r>
      <w:r>
        <w:rPr>
          <w:rFonts w:ascii="Times New Roman" w:cs="Times New Roman" w:eastAsia="Times New Roman" w:hAnsi="Times New Roman"/>
          <w:sz w:val="22"/>
          <w:szCs w:val="22"/>
          <w:color w:val="auto"/>
        </w:rPr>
        <w:t>” means the date of a Qualifying Termination or CIC Qualifying Termination, as</w:t>
      </w:r>
    </w:p>
    <w:p>
      <w:pPr>
        <w:spacing w:after="0" w:line="2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w:t>
      </w:r>
    </w:p>
    <w:p>
      <w:pPr>
        <w:spacing w:after="0" w:line="17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has the meaning ascribed to such term in the preamble.</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has the meaning ascribed to such term in Section 3(g)(i).</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the occurrence of any of the following events or conditions without Executive’s</w:t>
      </w:r>
    </w:p>
    <w:p>
      <w:pPr>
        <w:spacing w:after="0" w:line="2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consent: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ind w:left="2560" w:hanging="306"/>
        <w:spacing w:after="0"/>
        <w:tabs>
          <w:tab w:leader="none" w:pos="25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authority, duties or responsibilities;</w:t>
      </w:r>
    </w:p>
    <w:p>
      <w:pPr>
        <w:spacing w:after="0" w:line="206" w:lineRule="exact"/>
        <w:rPr>
          <w:rFonts w:ascii="Times New Roman" w:cs="Times New Roman" w:eastAsia="Times New Roman" w:hAnsi="Times New Roman"/>
          <w:sz w:val="22"/>
          <w:szCs w:val="22"/>
          <w:color w:val="auto"/>
        </w:rPr>
      </w:pPr>
    </w:p>
    <w:p>
      <w:pPr>
        <w:jc w:val="both"/>
        <w:ind w:firstLine="2254"/>
        <w:spacing w:after="0" w:line="238" w:lineRule="auto"/>
        <w:tabs>
          <w:tab w:leader="none" w:pos="2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Base Salary or target annual bonus opportunity, unless such reduction is imposed across-the-board to senior management of the Company (and Executive and the Company agree that without limiting any argument that a lesser diminution is material, any diminution of ten percent (10%) or more measured against Executive’s Base Salary and target bonus opportunity as in effect on the Effective Date shall be deemed material for purposes of this clause (ii));</w:t>
      </w:r>
    </w:p>
    <w:p>
      <w:pPr>
        <w:spacing w:after="0" w:line="177"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(iii)a material change in the geographic location at which Executive must perform Executive’s duties (and the Company and Executive acknowledge and agree that a change in the geographic location at which Executive must perform Executive’s duties by more than forty-five (45) miles shall constitute a material change for purposes of this Agreement); or</w:t>
      </w:r>
    </w:p>
    <w:p>
      <w:pPr>
        <w:spacing w:after="0" w:line="180"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(iv)any other action or inaction that constitutes a material breach by the Company or any successor or Affiliate of the Company of its obligations to Executive under this Agreement. Executive must provide written notice to the Company of the occurrence of any of the foregoing events or conditions without Executive’s written consent within ninety (90) days of Executive learning of the occurrence of such event. The Company or any successor or Affiliate of the Company shall have a period of thirty (30) days to cure such event or condition after receipt of written notice of such event from Executive. Any voluntary termination by Executive for “Good Reason” following such thirty (30) day cure period must occur no later than the date that is six (6) months following the occurrence of one of the foregoing events or conditions without Executive’s written consent.</w:t>
      </w:r>
    </w:p>
    <w:p>
      <w:pPr>
        <w:spacing w:after="0" w:line="172" w:lineRule="exact"/>
        <w:rPr>
          <w:sz w:val="20"/>
          <w:szCs w:val="20"/>
          <w:color w:val="auto"/>
        </w:rPr>
      </w:pPr>
    </w:p>
    <w:p>
      <w:pPr>
        <w:ind w:left="2040" w:hanging="535"/>
        <w:spacing w:after="0"/>
        <w:tabs>
          <w:tab w:leader="none" w:pos="20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JAMS</w:t>
      </w:r>
      <w:r>
        <w:rPr>
          <w:rFonts w:ascii="Times New Roman" w:cs="Times New Roman" w:eastAsia="Times New Roman" w:hAnsi="Times New Roman"/>
          <w:sz w:val="22"/>
          <w:szCs w:val="22"/>
          <w:color w:val="auto"/>
        </w:rPr>
        <w:t>” has the meaning ascribed to such term in Section 5.</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has the meaning ascribed to such term in Section 3(g)(i).</w:t>
      </w:r>
    </w:p>
    <w:p>
      <w:pPr>
        <w:spacing w:after="0" w:line="206" w:lineRule="exact"/>
        <w:rPr>
          <w:rFonts w:ascii="Times New Roman" w:cs="Times New Roman" w:eastAsia="Times New Roman" w:hAnsi="Times New Roman"/>
          <w:sz w:val="22"/>
          <w:szCs w:val="22"/>
          <w:color w:val="auto"/>
        </w:rPr>
      </w:pPr>
    </w:p>
    <w:p>
      <w:pPr>
        <w:jc w:val="both"/>
        <w:ind w:firstLine="1505"/>
        <w:spacing w:after="0" w:line="247" w:lineRule="auto"/>
        <w:tabs>
          <w:tab w:leader="none" w:pos="203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Permanent Disability</w:t>
      </w:r>
      <w:r>
        <w:rPr>
          <w:rFonts w:ascii="Times New Roman" w:cs="Times New Roman" w:eastAsia="Times New Roman" w:hAnsi="Times New Roman"/>
          <w:sz w:val="22"/>
          <w:szCs w:val="22"/>
          <w:color w:val="auto"/>
        </w:rPr>
        <w:t>” means Executive’s inability to perform the essential functions of Executive’s position, with or without reasonable accommodation, for a period of at least one hundred twenty (120) consecutive days because of a physical or mental impairment.</w:t>
      </w:r>
    </w:p>
    <w:p>
      <w:pPr>
        <w:spacing w:after="0" w:line="163" w:lineRule="exact"/>
        <w:rPr>
          <w:rFonts w:ascii="Times New Roman" w:cs="Times New Roman" w:eastAsia="Times New Roman" w:hAnsi="Times New Roman"/>
          <w:sz w:val="22"/>
          <w:szCs w:val="22"/>
          <w:color w:val="auto"/>
        </w:rPr>
      </w:pPr>
    </w:p>
    <w:p>
      <w:pPr>
        <w:jc w:val="both"/>
        <w:ind w:firstLine="1505"/>
        <w:spacing w:after="0" w:line="247" w:lineRule="auto"/>
        <w:tabs>
          <w:tab w:leader="none" w:pos="203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Qualifying Termination</w:t>
      </w:r>
      <w:r>
        <w:rPr>
          <w:rFonts w:ascii="Times New Roman" w:cs="Times New Roman" w:eastAsia="Times New Roman" w:hAnsi="Times New Roman"/>
          <w:sz w:val="22"/>
          <w:szCs w:val="22"/>
          <w:color w:val="auto"/>
        </w:rPr>
        <w:t>” means the termination of Executive’s employment by the Company and its Subsidiaries without Cause more than three (3) months prior to a Change in Control or more than twelve (12) months following a Change in Control. It is intended that any Qualifying Termination shall be a Separation from Service.</w:t>
      </w:r>
    </w:p>
    <w:p>
      <w:pPr>
        <w:spacing w:after="0" w:line="16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has the meaning ascribed to such term in Section 3(d).</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Rules</w:t>
      </w:r>
      <w:r>
        <w:rPr>
          <w:rFonts w:ascii="Times New Roman" w:cs="Times New Roman" w:eastAsia="Times New Roman" w:hAnsi="Times New Roman"/>
          <w:sz w:val="22"/>
          <w:szCs w:val="22"/>
          <w:color w:val="auto"/>
        </w:rPr>
        <w:t>” has the meaning ascribed to such term in Section 5.</w:t>
      </w:r>
    </w:p>
    <w:p>
      <w:pPr>
        <w:spacing w:after="0" w:line="206" w:lineRule="exact"/>
        <w:rPr>
          <w:rFonts w:ascii="Times New Roman" w:cs="Times New Roman" w:eastAsia="Times New Roman" w:hAnsi="Times New Roman"/>
          <w:sz w:val="22"/>
          <w:szCs w:val="22"/>
          <w:color w:val="auto"/>
        </w:rPr>
      </w:pPr>
    </w:p>
    <w:p>
      <w:pPr>
        <w:ind w:right="20" w:firstLine="1505"/>
        <w:spacing w:after="0" w:line="264" w:lineRule="auto"/>
        <w:tabs>
          <w:tab w:leader="none" w:pos="203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has the meaning ascribed to such term in Treasury Regulation section 1.409A-l(h) and generally means termination of employment from the Company and its Subsidiaries.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ind w:firstLine="1505"/>
        <w:spacing w:after="0" w:line="264" w:lineRule="auto"/>
        <w:tabs>
          <w:tab w:leader="none" w:pos="203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Awards</w:t>
      </w:r>
      <w:r>
        <w:rPr>
          <w:rFonts w:ascii="Times New Roman" w:cs="Times New Roman" w:eastAsia="Times New Roman" w:hAnsi="Times New Roman"/>
          <w:sz w:val="22"/>
          <w:szCs w:val="22"/>
          <w:color w:val="auto"/>
        </w:rPr>
        <w:t>” means all stock options, restricted stock units and such other equity-based awards granted pursuant to the Company’s equity award plans or agreements.</w:t>
      </w:r>
    </w:p>
    <w:p>
      <w:pPr>
        <w:spacing w:after="0" w:line="145"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any corporation, partnership, joint venture, limited liability company, or other entity (other than the Company) in an unbroken chain of entities beginning with the Company if each of the entities other than the last entity in the unbroken chain owns directly or indirectly more than 50% of the total combined voting power of another corporation or other entity in such chain.</w:t>
      </w:r>
    </w:p>
    <w:p>
      <w:pPr>
        <w:spacing w:after="0" w:line="172" w:lineRule="exact"/>
        <w:rPr>
          <w:sz w:val="20"/>
          <w:szCs w:val="20"/>
          <w:color w:val="auto"/>
        </w:rPr>
      </w:pPr>
    </w:p>
    <w:p>
      <w:pPr>
        <w:ind w:left="2040" w:hanging="535"/>
        <w:spacing w:after="0"/>
        <w:tabs>
          <w:tab w:leader="none" w:pos="204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 has the meaning ascribed to such term in Section 2(a).</w:t>
      </w:r>
    </w:p>
    <w:p>
      <w:pPr>
        <w:spacing w:after="0" w:line="21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p>
    <w:p>
      <w:pPr>
        <w:spacing w:after="0" w:line="200"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this Agreement (the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 shall continue until February 9, 2027, except to the extent the Term is automatically extended pursuant to Section 2(b). Thereafter, this Agreement shall automatically renew for successive one-year periods unless the Board gives written notice prior to the expiration of the then-effective Term of the Company’s intention not to renew. Notwithstanding the foregoing, the Term shall expire on the date on which all payments or benefits required to be made or provided hereunder have been made or provided in their entirety, except to the extent the Term is automatically extended pursuant to Section 2(b).</w:t>
      </w:r>
    </w:p>
    <w:p>
      <w:pPr>
        <w:spacing w:after="0" w:line="181" w:lineRule="exact"/>
        <w:rPr>
          <w:rFonts w:ascii="Times New Roman" w:cs="Times New Roman" w:eastAsia="Times New Roman" w:hAnsi="Times New Roman"/>
          <w:sz w:val="22"/>
          <w:szCs w:val="22"/>
          <w:color w:val="auto"/>
        </w:rPr>
      </w:pPr>
    </w:p>
    <w:p>
      <w:pPr>
        <w:jc w:val="both"/>
        <w:ind w:firstLine="1505"/>
        <w:spacing w:after="0" w:line="248" w:lineRule="auto"/>
        <w:tabs>
          <w:tab w:leader="none" w:pos="2036"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provisions of Section 2(a), the then-effective Term shall automatically be extended in the event that the Term would otherwise expire during the period commencing upon the first public announcement of a definitive agreement that would result in a Change in Control (even though still subject to approval of the Company’s stockholders and other conditions and contingencies) and ending on the date that is twelve (12) months following the occurrence of such Change in Control. Such extension shall be upon the terms and conditions of this Agreement as then in effect, provided that such extension of the Term shall expire upon the first to occur of the first public announcement of the termination of such definitive agreement or the date that is twelve (12) months following the occurrence of such Change in Control.</w:t>
      </w:r>
    </w:p>
    <w:p>
      <w:pPr>
        <w:spacing w:after="0" w:line="170"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Sections 2(a) and (b), the obligation of the Company to make payments or provide benefits pursuant to this Agreement to which Executive has acquired a right in accordance with the applicable provisions of this Agreement prior to the expiration of the Term shall survive the termination of this Agreement until such payments and benefits have been provided in full.</w:t>
      </w:r>
    </w:p>
    <w:p>
      <w:pPr>
        <w:spacing w:after="0" w:line="180"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p>
    <w:p>
      <w:pPr>
        <w:spacing w:after="0" w:line="206"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03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Qualifying Termination (Not in Connection with a Change in Control)</w:t>
      </w:r>
      <w:r>
        <w:rPr>
          <w:rFonts w:ascii="Times New Roman" w:cs="Times New Roman" w:eastAsia="Times New Roman" w:hAnsi="Times New Roman"/>
          <w:sz w:val="22"/>
          <w:szCs w:val="22"/>
          <w:color w:val="auto"/>
        </w:rPr>
        <w:t>. If Executive experiences a Qualifying Termination, Executive shall be entitled to receive the payments and benefits provided below, which, with respect to clause (ii), will be payable in a lump sum on the day that is sixty (60) days following the Date of Termination:</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Executive Executive’s fully earned but unpaid Base Salary, when due, through the Date of Termination at the rate then in effect, reimbursement of business expenses incurred prior to the Date of Termination and properly submitted in accordance with Company policy, plus all other benefits, if any, under any Company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48" w:name="page49"/>
    <w:bookmarkEnd w:id="48"/>
    <w:p>
      <w:pPr>
        <w:jc w:val="both"/>
        <w:spacing w:after="0" w:line="239" w:lineRule="auto"/>
        <w:rPr>
          <w:sz w:val="20"/>
          <w:szCs w:val="20"/>
          <w:color w:val="auto"/>
        </w:rPr>
      </w:pPr>
      <w:r>
        <w:rPr>
          <w:rFonts w:ascii="Times New Roman" w:cs="Times New Roman" w:eastAsia="Times New Roman" w:hAnsi="Times New Roman"/>
          <w:sz w:val="22"/>
          <w:szCs w:val="22"/>
          <w:color w:val="auto"/>
        </w:rPr>
        <w:t>group retirement plan, nonqualified deferred compensation plan, equity award plan or agreement (other than any such plan or agreement pertaining to Stock Awards, whose treatment is prescribed by Section 3(a)(iv) below), health benefits plan or other Company group benefit plan to which Executive may be entitled pursuant to the terms of such plans or agreements as of the Date of Termination (the “</w:t>
      </w:r>
      <w:r>
        <w:rPr>
          <w:rFonts w:ascii="Times New Roman" w:cs="Times New Roman" w:eastAsia="Times New Roman" w:hAnsi="Times New Roman"/>
          <w:sz w:val="22"/>
          <w:szCs w:val="22"/>
          <w:b w:val="1"/>
          <w:bCs w:val="1"/>
          <w:i w:val="1"/>
          <w:iCs w:val="1"/>
          <w:color w:val="auto"/>
        </w:rPr>
        <w:t>Accrued Obligations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2254"/>
        <w:spacing w:after="0" w:line="238" w:lineRule="auto"/>
        <w:tabs>
          <w:tab w:leader="none" w:pos="254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3(d) and Executive’s continued compliance with Section 7, Executive shall be entitled to receive severance pay in an amount equal to one hundred percent (100%) multiplied by the sum of (x) Executive’s annual Base Salary as in effect immediately prior to the Date of Termination, plus (y) Executive’s annual bonus for the fiscal year in which the Date of Termination occurs (based on target achievement of performance metrics) prorated based on the number of days that have elapsed as of the Date of Termination for the fiscal year in which the Date of Termination occurs;</w:t>
      </w:r>
    </w:p>
    <w:p>
      <w:pPr>
        <w:spacing w:after="0" w:line="177"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(iii)Subject to Section 3(d) and Executive’s continued compliance with Section 7, for the period beginning on the Date of Termination and ending on the date which is twelve (12) full months following the Date of Termination (or, if earlier, the date on which the applicable continuation period under COBRA expires) (the “</w:t>
      </w:r>
      <w:r>
        <w:rPr>
          <w:rFonts w:ascii="Times New Roman" w:cs="Times New Roman" w:eastAsia="Times New Roman" w:hAnsi="Times New Roman"/>
          <w:sz w:val="22"/>
          <w:szCs w:val="22"/>
          <w:b w:val="1"/>
          <w:bCs w:val="1"/>
          <w:i w:val="1"/>
          <w:iCs w:val="1"/>
          <w:color w:val="auto"/>
        </w:rPr>
        <w:t>COBRA Coverage Period</w:t>
      </w:r>
      <w:r>
        <w:rPr>
          <w:rFonts w:ascii="Times New Roman" w:cs="Times New Roman" w:eastAsia="Times New Roman" w:hAnsi="Times New Roman"/>
          <w:sz w:val="22"/>
          <w:szCs w:val="22"/>
          <w:color w:val="auto"/>
        </w:rPr>
        <w:t>”), the Company shall continue to provide Executive and Executive’s eligible dependents who were covered under the Company’s health insurance plans as of the Date of Termination with health (including medical and dental) insurance benefits substantially similar to those provided to Executive and Executive’s dependents immediately prior to the Date of Termination. If any of the Company’s health benefits are self-funded as of the Date of Termination, or if the Company cannot provide the foregoing benefits in a manner that is exempt from or otherwise compliant with applicable law or the provision of such benefits may result in the Company incurring penalties under applicable law (including, without limitation, Section 409A of the Code and Section 2716 of the Public Health Service Act), instead of providing continued health insurance benefits as set forth above, the Company shall instead pay to Executive an amount equal to the monthly premium payment for Executive and Executive’s eligible dependents who were covered under the Company’s health plans as of the Date of Termination (calculated by reference to the premium as of the Date of Termination) as currently taxable compensation in substantially equal monthly installments over the COBRA Coverage Period (or the remaining portion thereof);</w:t>
      </w:r>
    </w:p>
    <w:p>
      <w:pPr>
        <w:spacing w:after="0" w:line="180"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 xml:space="preserve">(iv)Subject to Section 3(d) and Executive’s continued compliance with Section 7, each of Executive’s outstanding Stock Awards scheduled to vest within twelve (12) months following the Date of Termination (or for any performance-based Stock Awards, (x) those with a multi-year performance period that ends during such period or (y) to the extent any such Stock Award contains performance goals measured against fiscal year performance within a multi-year performance period, those with any such fiscal year(s) that have been completed on or prior to the Date of Termination) shall be accelerated and shall vest and become exercisable, as applicable, effective as of the Date of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performance-based Stock Awards described above will, except to the extent alternative acceleration is specifically provided for pursuant to the grant documents, vest as to (A) actual performance achievement, with respect to any performance goals measured against fiscal year performance within an applicable multi-year performance period to the extent any such fiscal year(s) have previously been completed on or prior to the Date of Termination, and (B) the greater of target performance achievement and actual performance achievement (to the extent determinable as of the Date of Termination, as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determined in the sole discretion of the Company), with respect to any other performance goals;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payment or settlement of such Stock Awards may be delayed as provided in the grant documents to the extent required by Section 409A of the Code. Nothing in this Section 3(a)(iv) shall be construed to limit any more favorable vesting applicable to Executive’s Stock Awards in the Company’s equity plan(s) and/or the stock award agreements under which the Stock Awards were granted. The foregoing provisions are hereby deemed to be a part of each Stock Award and to supersede any less favorable provision in any agreement or plan regarding such Stock Award; and</w:t>
      </w:r>
    </w:p>
    <w:p>
      <w:pPr>
        <w:spacing w:after="0" w:line="179" w:lineRule="exact"/>
        <w:rPr>
          <w:sz w:val="20"/>
          <w:szCs w:val="20"/>
          <w:color w:val="auto"/>
        </w:rPr>
      </w:pPr>
    </w:p>
    <w:p>
      <w:pPr>
        <w:jc w:val="both"/>
        <w:ind w:firstLine="2254"/>
        <w:spacing w:after="0" w:line="239" w:lineRule="auto"/>
        <w:tabs>
          <w:tab w:leader="none" w:pos="254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any severance benefits payable to Executive under this Section 3(a) shall be reduced by any severance benefits payable by the Company or an Affiliate of the Company to Executive under any other policy, plan, program, agreement or arrangement, including, without limitation, any severance agreement between Executive and any entity.</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CIC Qualifying Termination (In Connection with a Change in Control)</w:t>
      </w:r>
      <w:r>
        <w:rPr>
          <w:rFonts w:ascii="Times New Roman" w:cs="Times New Roman" w:eastAsia="Times New Roman" w:hAnsi="Times New Roman"/>
          <w:sz w:val="22"/>
          <w:szCs w:val="22"/>
          <w:color w:val="auto"/>
        </w:rPr>
        <w:t>. If Executive experiences a CIC Qualifying Termination, Executive shall be entitled to receive the benefits provided below, which, with respect to clause (ii), will be payable in a lump sum on the day that is sixty (60) days following the Date of Termination:</w:t>
      </w:r>
    </w:p>
    <w:p>
      <w:pPr>
        <w:spacing w:after="0" w:line="173"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Executive the Accrued Obligations;</w:t>
      </w:r>
    </w:p>
    <w:p>
      <w:pPr>
        <w:spacing w:after="0" w:line="206" w:lineRule="exact"/>
        <w:rPr>
          <w:sz w:val="20"/>
          <w:szCs w:val="20"/>
          <w:color w:val="auto"/>
        </w:rPr>
      </w:pPr>
    </w:p>
    <w:p>
      <w:pPr>
        <w:jc w:val="both"/>
        <w:ind w:firstLine="2254"/>
        <w:spacing w:after="0" w:line="239" w:lineRule="auto"/>
        <w:tabs>
          <w:tab w:leader="none" w:pos="254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3(d) and Executive’s continued compliance with Section 7, Executive shall be entitled to receive severance pay in an amount equal to one hundred percent (100%) multiplied by the sum of (x) Executive’s annual Base Salary as in effect immediately prior to the Date of Termination, plus (y) Executive’s annual bonus for the fiscal year in which the Date of Termination occurs (based on target achievement of performance metrics);</w:t>
      </w:r>
    </w:p>
    <w:p>
      <w:pPr>
        <w:spacing w:after="0" w:line="180"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(iii)Subject to Section 3(d) and Executive’s continued compliance with Section 7, for the COBRA Coverage Period, the Company shall continue to provide Executive and Executive’s eligible dependents who were covered under the Company’s health insurance plans as of the Date of Termination with health (including medical and dental) insurance benefits substantially similar to those provided to Executive and Executive’s dependents immediately prior to the Date of Termination. If any of the Company’s health benefits are self-funded as of the Date of Termination, or if the Company cannot provide the foregoing benefits in a manner that is exempt from or otherwise compliant with applicable law or the provision of such benefits may result in the Company incurring penalties under applicable law (including, without limitation, Section 409A of the Code and Section 2716 of the Public Health Service Act), instead of providing continued health insurance benefits as set forth above, the Company shall instead pay to Executive an amount equal to the monthly premium payment for Executive and Executive’s eligible dependents who were covered under the Company’s health plans as of the Date of Termination (calculated by reference to the premium as of the Date of Termination) as currently taxable compensation in substantially equal monthly installments over the COBRA Coverage Period (or the remaining portion thereof);</w:t>
      </w:r>
    </w:p>
    <w:p>
      <w:pPr>
        <w:spacing w:after="0" w:line="185"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(iv)Subject to Section 3(d) and Executive’s continued compliance with Section 7, each of Executive’s outstanding Stock Awards shall be accelerated in full and shall vest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0" w:name="page51"/>
    <w:bookmarkEnd w:id="50"/>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and become exercisable, as applicable, effective as of the later of (A) the Date of Termination or (B) the date of the Change in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performance-based Stock Awards will, except to the extent alternative acceleration is specifically provided for pursuant to the grant documents, vest as to (1) actual performance achievement, with respect to any performance goals measured against fiscal year performance within an applicable multi-year performance period to the extent any such fiscal year(s) have previously been completed on or prior to the date of the Change in Control and (2) the greater of target performance achievement and actual performance achievement (to the extent determinable as of the date of the Change in Control, as determined in the sole discretion of the Company), with respect to any other performance goals;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payment or settlement of such Stock Awards may be delayed as provided in the grant documents to the extent required by Section 409A of the Code. Nothing in this Section 3(b)(iv) shall be construed to limit any more favorable vesting applicable to Executive’s Stock Awards in the Company’s equity plan(s) and/or the stock award agreements under which the Stock Awards were granted. The foregoing provisions are hereby deemed to be a part of each Stock Award and to supersede any less favorable provision in any agreement or plan regarding such Stock Award; and</w:t>
      </w:r>
    </w:p>
    <w:p>
      <w:pPr>
        <w:spacing w:after="0" w:line="185" w:lineRule="exact"/>
        <w:rPr>
          <w:sz w:val="20"/>
          <w:szCs w:val="20"/>
          <w:color w:val="auto"/>
        </w:rPr>
      </w:pPr>
    </w:p>
    <w:p>
      <w:pPr>
        <w:jc w:val="both"/>
        <w:ind w:firstLine="2254"/>
        <w:spacing w:after="0" w:line="239" w:lineRule="auto"/>
        <w:tabs>
          <w:tab w:leader="none" w:pos="254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any severance benefits payable to Executive under this Section 3(b) shall be reduced by any severance benefits payable by the Company or an Affiliate of the Company to Executive under any other policy, plan, program, agreement or arrangement, including, without limitation, any severance agreement between Executive and any entity.</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If Executive’s employment is terminated by the Company for Cause, by Executive without Good Reason, by Executive with Good Reason more than three (3) months prior to a Change in Control or more than twelve (12) months following a Change in Control, or as a result of Executive’s death or Permanent Disability, the Company shall not have any other or further obligations to Executive under this Agreement (including any financial obligations) except that Executive shall be entitled to receive the Accrued Obligations. The foregoing shall be in addition to, and not in lieu of, any and all other rights and remedies which may be available to the Company under the circumstances, whether at law or in equity.</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As a condition to Executive’s receipt of any post-termination benefits pursuant to Section 3(a) or Section 3(b) above (other than the Accrued Obligations), Executive shall execute and not revoke a general release of all claims in favor of the Company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xml:space="preserve">”) in the form substantially similar to that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any applicable revocation period applicable to such Release shall have expired) within the sixty (60) day period following the Date of Termination.</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Except as otherwise expressly required by law (e.g., COBRA) or as specifically provided herein, all of Executive’s rights to salary, severance, benefits, bonuses and other amounts hereunder (if any) accruing after the termination of Executive’s employment shall cease upon such termination. In the event of a termination of Executive’s employment with the Company, and except in the event of violation of applicable law by the Company relating to Executive’s employment or the termination thereof, Executive’s sole remedy shall be to receive the payments and benefits described in this Section 3.</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 w:name="page52"/>
    <w:bookmarkEnd w:id="51"/>
    <w:p>
      <w:pPr>
        <w:jc w:val="both"/>
        <w:ind w:firstLine="1505"/>
        <w:spacing w:after="0" w:line="238" w:lineRule="auto"/>
        <w:tabs>
          <w:tab w:leader="none" w:pos="203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xml:space="preserve">. Executive shall not be required to mitigate the amount of any payment provided for in this Section 3 by seeking other employment or otherwise, nor shall the amount of any payment or benefit provided for in this Section 3 be reduced by any compensation earned by Executive as the result of employment by another employer or self- employment or by retirement benefits;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loans, advances or other amounts owed by Executive to the Company may be offset by the Company and its Affiliates against amounts payable to Executive under this Section 3.</w:t>
      </w:r>
    </w:p>
    <w:p>
      <w:pPr>
        <w:spacing w:after="0" w:line="17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Best Pay Provision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254"/>
        <w:spacing w:after="0" w:line="234" w:lineRule="auto"/>
        <w:tabs>
          <w:tab w:leader="none" w:pos="2546"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payment or benefit Executive would receive under this Agreement, when combined with any other payment or benefit Executive receives pursuant to the termination of Executive’s employment with the Company and its Affiliates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such Payment shall be either (1) the full amount of such Payment or (2) such lesser amount (with cash payments being reduced before stock option compensation) as would result in no portion of the Payment being subject to the Excise Tax, whichever of the foregoing amounts, taking into account the applicable federal, state and local employment taxes, income taxes, and the Excise Tax, results in Executive’s receipt, on an after-tax basis, of the greater amount of the Payment notwithstanding that all or some portion of the Payment may be subject to the Excise Tax.</w:t>
      </w:r>
    </w:p>
    <w:p>
      <w:pPr>
        <w:spacing w:after="0" w:line="183" w:lineRule="exact"/>
        <w:rPr>
          <w:rFonts w:ascii="Times New Roman" w:cs="Times New Roman" w:eastAsia="Times New Roman" w:hAnsi="Times New Roman"/>
          <w:sz w:val="22"/>
          <w:szCs w:val="22"/>
          <w:color w:val="auto"/>
        </w:rPr>
      </w:pPr>
    </w:p>
    <w:p>
      <w:pPr>
        <w:jc w:val="both"/>
        <w:ind w:firstLine="2254"/>
        <w:spacing w:after="0" w:line="234" w:lineRule="auto"/>
        <w:tabs>
          <w:tab w:leader="none" w:pos="2546"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determinations required to be made under this Section 3(g), including whether and to what extent the Payments shall be reduced and the assumptions to be utilized in arriving at such determination, shall be made by any nationally recognized certified public accounting firm as may be designated by the Company, in its sole discretion (the “</w:t>
      </w:r>
      <w:r>
        <w:rPr>
          <w:rFonts w:ascii="Times New Roman" w:cs="Times New Roman" w:eastAsia="Times New Roman" w:hAnsi="Times New Roman"/>
          <w:sz w:val="22"/>
          <w:szCs w:val="22"/>
          <w:b w:val="1"/>
          <w:bCs w:val="1"/>
          <w:i w:val="1"/>
          <w:iCs w:val="1"/>
          <w:color w:val="auto"/>
        </w:rPr>
        <w:t>Accounting Firm</w:t>
      </w:r>
      <w:r>
        <w:rPr>
          <w:rFonts w:ascii="Times New Roman" w:cs="Times New Roman" w:eastAsia="Times New Roman" w:hAnsi="Times New Roman"/>
          <w:sz w:val="22"/>
          <w:szCs w:val="22"/>
          <w:color w:val="auto"/>
        </w:rPr>
        <w:t>”). The Accounting Firm shall provide detailed supporting calculations both to Executive and the Company at such time as is requested by the Company. All fees and expenses of the Accounting Firm shall be borne solely by the Company. Any determination by the Accounting Firm shall be binding upon Executive and the Company. For purposes of making the calculations required by this Section 3(g), the Accounting Firm may make reasonable assumptions and approximations concerning applicable taxes and may rely on reasonable, good-faith interpretations concerning the application of Sections 280G and 4999 of the Code.</w:t>
      </w:r>
    </w:p>
    <w:p>
      <w:pPr>
        <w:spacing w:after="0" w:line="183"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the Company’s Property</w:t>
      </w:r>
      <w:r>
        <w:rPr>
          <w:rFonts w:ascii="Times New Roman" w:cs="Times New Roman" w:eastAsia="Times New Roman" w:hAnsi="Times New Roman"/>
          <w:sz w:val="22"/>
          <w:szCs w:val="22"/>
          <w:color w:val="auto"/>
        </w:rPr>
        <w:t>. If Executive’s employment is terminated for any reason, the Company shall have the right, at its option, to require Executive to vacate Executive’s offices prior to or on the effective date of termination and to cease all activities on the Company’s behalf. Upon the termination of Executive’s employment in any manner, as a condition to Executive’s receipt of any post- termination benefits described in this Agreement, Executive shall immediately surrender to the Company all lists, books and records of, or in connection with, the Company’s business, and all other property belonging to the Company and its Affiliates, it being distinctly understood that all such lists, books and records, and other documents, are the property of the Company and its Affiliates. Executive shall deliver to the Company a signed statement certifying compliance with this Section 4 prior to the receipt of any post-termination benefits described in this Agreement.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2" w:name="page53"/>
    <w:bookmarkEnd w:id="52"/>
    <w:p>
      <w:pPr>
        <w:jc w:val="both"/>
        <w:ind w:firstLine="757"/>
        <w:spacing w:after="0" w:line="231" w:lineRule="auto"/>
        <w:tabs>
          <w:tab w:leader="none" w:pos="101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Arbitrate</w:t>
      </w:r>
      <w:r>
        <w:rPr>
          <w:rFonts w:ascii="Times New Roman" w:cs="Times New Roman" w:eastAsia="Times New Roman" w:hAnsi="Times New Roman"/>
          <w:sz w:val="22"/>
          <w:szCs w:val="22"/>
          <w:color w:val="auto"/>
        </w:rPr>
        <w:t>. Any dispute, claim or controversy based on, arising out of or relating to Executive’s employment or this Agreement shall be settled by final and binding arbitration in San Jose, California, before a single neutral arbitrator in accordance with the Employment Arbitration Rules and Procedures (the “</w:t>
      </w:r>
      <w:r>
        <w:rPr>
          <w:rFonts w:ascii="Times New Roman" w:cs="Times New Roman" w:eastAsia="Times New Roman" w:hAnsi="Times New Roman"/>
          <w:sz w:val="22"/>
          <w:szCs w:val="22"/>
          <w:b w:val="1"/>
          <w:bCs w:val="1"/>
          <w:i w:val="1"/>
          <w:iCs w:val="1"/>
          <w:color w:val="auto"/>
        </w:rPr>
        <w:t>Rules</w:t>
      </w:r>
      <w:r>
        <w:rPr>
          <w:rFonts w:ascii="Times New Roman" w:cs="Times New Roman" w:eastAsia="Times New Roman" w:hAnsi="Times New Roman"/>
          <w:sz w:val="22"/>
          <w:szCs w:val="22"/>
          <w:color w:val="auto"/>
        </w:rPr>
        <w:t>”) of Judicial Arbitration and Mediation Services (“</w:t>
      </w:r>
      <w:r>
        <w:rPr>
          <w:rFonts w:ascii="Times New Roman" w:cs="Times New Roman" w:eastAsia="Times New Roman" w:hAnsi="Times New Roman"/>
          <w:sz w:val="22"/>
          <w:szCs w:val="22"/>
          <w:b w:val="1"/>
          <w:bCs w:val="1"/>
          <w:i w:val="1"/>
          <w:iCs w:val="1"/>
          <w:color w:val="auto"/>
        </w:rPr>
        <w:t>JAMS</w:t>
      </w:r>
      <w:r>
        <w:rPr>
          <w:rFonts w:ascii="Times New Roman" w:cs="Times New Roman" w:eastAsia="Times New Roman" w:hAnsi="Times New Roman"/>
          <w:sz w:val="22"/>
          <w:szCs w:val="22"/>
          <w:color w:val="auto"/>
        </w:rPr>
        <w:t xml:space="preserve">”), and judgment on the award rendered by the arbitrator may be entered in any court having jurisdiction. The Rules may be found online at www.jamsadr.com. Arbitration may be compelled pursuant to the California Arbitration Act (Code of Civil Procedure §§ 1280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If the parties are unable to agree upon an arbitrator, one shall be appointed by JAMS in accordance with its Rules. Each party shall pay the fees of its own attorneys, the expenses of its witnesses and all other expenses connected with presenting its case;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Executive and the Company agree that, to the extent permitted by law, the arbitrator may, in his or her discretion, award reasonable attorneys’ fees to the prevailing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the prevailing party shall be reimbursed for such fees, costs and expenses within forty-five (45)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following any such award, but in no event later than the last day of the Executive’s taxable year following the taxable year in which the fees, costs and expenses were incurred;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the parties’ obligations pursuant to this sentence shall terminate on the tenth (10th) anniversary of the date of Executive’s termination of employment;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Executive shall retain the right to file administrative charges with or seek relief through any government agency of competent jurisdiction, and to participate in any government investigation, including but not limited to (a) claims for workers’ compensation, state disability insurance or unemployment insurance; (b) claims for unpaid wages or waiting time penalties brought before the California Division of Labor Standards Enforcement;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appeal from an award or from denial of an award of wages and/or waiting time penalties shall be arbitrated pursuant to the terms of this Agreement; and</w:t>
      </w:r>
    </w:p>
    <w:p>
      <w:pPr>
        <w:spacing w:after="0" w:line="15" w:lineRule="exact"/>
        <w:rPr>
          <w:rFonts w:ascii="Times New Roman" w:cs="Times New Roman" w:eastAsia="Times New Roman" w:hAnsi="Times New Roman"/>
          <w:sz w:val="22"/>
          <w:szCs w:val="22"/>
          <w:color w:val="auto"/>
        </w:rPr>
      </w:pPr>
    </w:p>
    <w:p>
      <w:pPr>
        <w:jc w:val="both"/>
        <w:ind w:firstLine="8"/>
        <w:spacing w:after="0" w:line="231" w:lineRule="auto"/>
        <w:tabs>
          <w:tab w:leader="none" w:pos="32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claims for administrative relief from the United States Equal Employment Opportunity Commission and/or the California Department of Fair Employment and Housing (or any similar agency in any applicable jurisdiction other than California);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Executive shall not be entitled to obtain any monetary relief through such agencies other than workers’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compensation benefits or unemployment insurance benefits. Other costs of the arbitration, including the cost of any record or transcripts of the arbitration, JAMS’ administrative fees, the fee of the arbitrator, and all other fees and costs, shall be borne by the Company. This Section 5 is intended to be the exclusive method for resolving any and all claims by the parties against each other for payment of damages under this Agreement or relating to Executive’s employment;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neither this Agreement nor the submission to arbitration shall limit the parties’ right to seek provisional relief, including without limitation injunctive relief, in any court of competent jurisdiction pursuant to California Code of Civil Procedure § 1281.8 or any similar statute of an applicable jurisdiction. Seeking any such relief shall not be deemed to be a waiver of such party’s right to compel arbitration. Both Executive and the Company expressly waive their right to a jury trial.</w:t>
      </w:r>
    </w:p>
    <w:p>
      <w:pPr>
        <w:spacing w:after="0" w:line="186"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 Relationship</w:t>
      </w:r>
      <w:r>
        <w:rPr>
          <w:rFonts w:ascii="Times New Roman" w:cs="Times New Roman" w:eastAsia="Times New Roman" w:hAnsi="Times New Roman"/>
          <w:sz w:val="22"/>
          <w:szCs w:val="22"/>
          <w:color w:val="auto"/>
        </w:rPr>
        <w:t>. Executive’s employment with the Company is at-will and not for any specified period and may be terminated at any time, with or without Cause or advance notice, by either Executive or the Company. Any change to the at-will employment relationship must be by specific, written agreement signed by Executive and an authorized representative of the Company. Nothing in this Agreement is intended to or should be construed to contradict, modify or alter this at-will relationship.</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jc w:val="both"/>
        <w:ind w:firstLine="757"/>
        <w:spacing w:after="0" w:line="232" w:lineRule="auto"/>
        <w:tabs>
          <w:tab w:leader="none" w:pos="101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and Proprietary Rights</w:t>
      </w:r>
      <w:r>
        <w:rPr>
          <w:rFonts w:ascii="Times New Roman" w:cs="Times New Roman" w:eastAsia="Times New Roman" w:hAnsi="Times New Roman"/>
          <w:sz w:val="22"/>
          <w:szCs w:val="22"/>
          <w:color w:val="auto"/>
        </w:rPr>
        <w:t xml:space="preserve">. The Company shall be entitled to cease all severance payments and benefits to Executive in the event of Executive’s material breach of either of the Confidentiality and Proprietary Information, Inventions and Ethics Agreements (defined below). Executive and the Company have executed the Company’s Confidentiality and Proprietary Information, Inventions and Ethics Agreements, copies of which are attached to this Agreement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respectively, incorporated herein by reference (collectively, the “</w:t>
      </w:r>
      <w:r>
        <w:rPr>
          <w:rFonts w:ascii="Times New Roman" w:cs="Times New Roman" w:eastAsia="Times New Roman" w:hAnsi="Times New Roman"/>
          <w:sz w:val="22"/>
          <w:szCs w:val="22"/>
          <w:b w:val="1"/>
          <w:bCs w:val="1"/>
          <w:i w:val="1"/>
          <w:iCs w:val="1"/>
          <w:color w:val="auto"/>
        </w:rPr>
        <w:t>Confidentiality and Proprietary Rights Agreements</w:t>
      </w:r>
      <w:r>
        <w:rPr>
          <w:rFonts w:ascii="Times New Roman" w:cs="Times New Roman" w:eastAsia="Times New Roman" w:hAnsi="Times New Roman"/>
          <w:sz w:val="22"/>
          <w:szCs w:val="22"/>
          <w:color w:val="auto"/>
        </w:rPr>
        <w:t>”). Nothing in this Agreement or in the Confidentiality and Proprietary Rights Agreements shall be deemed to restrict Executive’s right to communicate directly with, cooperate with, provide information to, or report possible violations of federal law or regulation to, any governmental agency or entity in accordance with the provisions of and rules promulgated under Section 21F of the Exchange Act or Section 806 of the Sarbanes-Oxley Act of 2002, or any other whistleblower protection provisions of state or federal law or regulation, including, but not limited to, the U.S. Securities and Exchange Commission, the U.S. Commodity Futures Trading Commission, or the U.S. Department of Justice. Executive is hereby notified that the immunity provisions in Section 1833 of title 18 of the United States Code provide that an individual cannot be held criminally or civilly liable under any federal or state trade secret law for any disclosure of a trade secret that is made (i) in confidence to federal, state or local government officials, either directly or indirectly, or to an attorney, and is solely for the purpose of reporting or investigating a suspected violation of the law, (ii) under seal in a complaint or other document filed in a lawsuit or other proceeding, or (iii) to Executive’s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8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8.1</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The rights of the Company under this Agreement may, without the consent of Executive, be assigned by the Company, in its sole and unfettered discretion, to any person, firm, corporation or other business entity which at any time, whether by purchase, merger or otherwise, directly or indirectly, acquires all or substantially all of the assets or business of the Company. The Company will require any successor (whether direct or indirect, by purchase, merger or otherwise) to all or substantially all of the business or assets of the Company expressly to assume and to agree to perform this Agreement in the same manner and to the same extent that the Company would be required to perform it if no such succession had taken place;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no such assumption shall relieve the Company of its obligations hereunder;</w:t>
      </w:r>
      <w:r>
        <w:rPr>
          <w:rFonts w:ascii="Times New Roman" w:cs="Times New Roman" w:eastAsia="Times New Roman" w:hAnsi="Times New Roman"/>
          <w:sz w:val="22"/>
          <w:szCs w:val="22"/>
          <w:i w:val="1"/>
          <w:iCs w:val="1"/>
          <w:color w:val="auto"/>
        </w:rPr>
        <w:t xml:space="preserve"> 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failure of any such successor to so assume this Agreement shall constitute a material breach of this Agreement. Executive shall not sell, transfer, assign, pledge, or hypothecate any of Executive’s rights or obligations under this Agreement, as applicable. Executive shall not borrow against Executive’s interest in this Agreement. This Agreement shall inure to the benefit of and be enforceable by Executive’s personal or legal representatives, executors, administrators, successors, heirs, distributees, devisees and legatees.</w:t>
      </w:r>
    </w:p>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8.2</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22"/>
          <w:szCs w:val="22"/>
          <w:color w:val="auto"/>
        </w:rPr>
        <w:t>unenforceable provision shall be deemed deleted, and the validity and enforceability of the remaining provisions shall not be affected thereby.</w:t>
      </w:r>
    </w:p>
    <w:p>
      <w:pPr>
        <w:spacing w:after="0" w:line="158"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8.3</w:t>
      </w:r>
      <w:r>
        <w:rPr>
          <w:rFonts w:ascii="Times New Roman" w:cs="Times New Roman" w:eastAsia="Times New Roman" w:hAnsi="Times New Roman"/>
          <w:sz w:val="21"/>
          <w:szCs w:val="21"/>
          <w:u w:val="single" w:color="auto"/>
          <w:color w:val="auto"/>
        </w:rPr>
        <w:t>Interpretation; Construction</w:t>
      </w:r>
      <w:r>
        <w:rPr>
          <w:rFonts w:ascii="Times New Roman" w:cs="Times New Roman" w:eastAsia="Times New Roman" w:hAnsi="Times New Roman"/>
          <w:sz w:val="21"/>
          <w:szCs w:val="21"/>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 Either party’s failure to enforce any provision of this Agreement shall not in any way be construed as a waiver of any such provision, or prevent that party thereafter from enforcing each and every other provision of this Agreement.</w:t>
      </w:r>
    </w:p>
    <w:p>
      <w:pPr>
        <w:spacing w:after="0" w:line="17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8.4</w:t>
      </w: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Agreement will be governed by and construed in accordance with the laws of the United States and the State of California applicable to contracts made and to be performed wholly within such State, and without regard to the conflicts of laws principles thereof. Any suit brought hereon shall be brought in the state or federal courts sitting in Santa Clara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8.5</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w:t>
      </w:r>
    </w:p>
    <w:p>
      <w:pPr>
        <w:spacing w:after="0" w:line="1" w:lineRule="exact"/>
        <w:rPr>
          <w:sz w:val="20"/>
          <w:szCs w:val="20"/>
          <w:color w:val="auto"/>
        </w:rPr>
      </w:pPr>
    </w:p>
    <w:p>
      <w:pPr>
        <w:jc w:val="both"/>
        <w:ind w:firstLine="8"/>
        <w:spacing w:after="0" w:line="235" w:lineRule="auto"/>
        <w:tabs>
          <w:tab w:leader="none" w:pos="31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certified or registered mail, return receipt requested, upon verification of receipt. Notice shall be sent to Executive at the address set forth below and to the Company at its principal place of business, or such other address as either party may specify in writing.</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8.6</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Sections 1 (“Definitions”), 3 (“Severance”), 4 (“Return of the Company’s Property”), 5 (“Agreement to Arbitrate”), 7 (“Confidentiality and Proprietary Rights”) and 8 (“General Provisions”) of this Agreement shall survive termination of Executive’s employment by the Company.</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8.7</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Confidentiality and Proprietary Rights Agreements incorporated herein by reference together constitute the entire agreement between the parties in respect of the subject matter contained herein and therein and supersede all prior or simultaneous representations, discussions, negotiations, and agreements, whether written or oral, including, without limitation, any previous severance agreement or severance agreement between the Company (or any of the Company’s Subsidiaries) and Executive (including, without limitation, the Prior Agreement).</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8.8</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may be amended or modified only with the written consent of Executive and an authorized representative of the Company. No oral waiver, amendment or modification will be effective under any circumstances whatsoever.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5" w:name="page56"/>
    <w:bookmarkEnd w:id="55"/>
    <w:p>
      <w:pPr>
        <w:ind w:left="760"/>
        <w:spacing w:after="0"/>
        <w:rPr>
          <w:sz w:val="20"/>
          <w:szCs w:val="20"/>
          <w:color w:val="auto"/>
        </w:rPr>
      </w:pPr>
      <w:r>
        <w:rPr>
          <w:rFonts w:ascii="Times New Roman" w:cs="Times New Roman" w:eastAsia="Times New Roman" w:hAnsi="Times New Roman"/>
          <w:sz w:val="22"/>
          <w:szCs w:val="22"/>
          <w:color w:val="auto"/>
        </w:rPr>
        <w:t>8.9</w:t>
      </w: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this Agreement shall be interpreted in accordance with Code Section 409A and Department of Treasury regulations and other interpretive guidance issued thereunder. Each separately identified amount to which Executive is entitled under this Agreement shall be treated as a separate payment. In addition, to the extent permissible under Code Section 409A, any series of installment payments under this Agreement shall be treated as a right to a series of separate payments.</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is a “specified employee” (as defined in Section 409A of the Code), as determined by the Company in accordance with Section 409A of the Code, on the date of the Executive’s Separation from Service, to the extent that the payments or benefits under this Agreement are subject to Section 409A of the Code and the delayed payment or distribution of all or any portion of such amounts to which Executive is entitled under this Agreement is required in order to avoid a prohibited distribution under Section 409A(a)(2)(B)(i) of the Code, then such portion deferred pursuant to this Section 8.9(b) shall be paid or distributed to Executive in a lump sum on the earlier of (i) the date that is six (6) months following Executive’s Separation from Service, (ii) the date of Executive’s death or (iii) the earliest date as is permitted under Section 409A of the Code. Any remaining payments due under the Agreement shall be paid as otherwise provided herein.</w:t>
      </w:r>
    </w:p>
    <w:p>
      <w:pPr>
        <w:spacing w:after="0" w:line="178"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in-kind benefits and reimbursements provided under this Agreement during any tax year of Executive shall not affect in-kind benefits or reimbursements to be provided in any other tax year of Executive and are not subject to liquidation or exchange for another benefit. Notwithstanding anything to the contrary in this Agreement, reimbursement requests must be timely submitted by Executive and, if timely submitted, reimbursement payments shall be made to Executive as soon as administratively practicable following such submission, but in no event later than the last day of Executive’s taxable year following the taxable year in which the expense was incurred. In no event shall Executive be entitled to any reimbursement payments after the last day of Executive’s taxable year following the taxable year in which the expense was incurred. This section shall only apply to in-kind benefits and reimbursements that would result in taxable compensation income to Executive.</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8.10</w:t>
      </w:r>
      <w:r>
        <w:rPr>
          <w:rFonts w:ascii="Times New Roman" w:cs="Times New Roman" w:eastAsia="Times New Roman" w:hAnsi="Times New Roman"/>
          <w:sz w:val="22"/>
          <w:szCs w:val="22"/>
          <w:u w:val="single" w:color="auto"/>
          <w:color w:val="auto"/>
        </w:rPr>
        <w:t>Consultation with Legal and Financial Advisors</w:t>
      </w:r>
      <w:r>
        <w:rPr>
          <w:rFonts w:ascii="Times New Roman" w:cs="Times New Roman" w:eastAsia="Times New Roman" w:hAnsi="Times New Roman"/>
          <w:sz w:val="22"/>
          <w:szCs w:val="22"/>
          <w:color w:val="auto"/>
        </w:rPr>
        <w:t>. By executing this Agreement, Executive acknowledges that this Agreement confers significant legal rights, and may also involve the waiver of rights under other agreements; that the Company has encouraged Executive to consult with Executive’s personal legal and financial advisors; and that Executive has had adequate time to consult with Executive’s advisors before executing this Agreement.</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8.11</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multiple counterparts, each of which shall be deemed an original but all of which together shall constitute one and the same instrument.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6" w:name="page57"/>
    <w:bookmarkEnd w:id="56"/>
    <w:p>
      <w:pPr>
        <w:jc w:val="both"/>
        <w:spacing w:after="0" w:line="244" w:lineRule="auto"/>
        <w:rPr>
          <w:sz w:val="20"/>
          <w:szCs w:val="20"/>
          <w:color w:val="auto"/>
        </w:rPr>
      </w:pPr>
      <w:r>
        <w:rPr>
          <w:rFonts w:ascii="Times New Roman" w:cs="Times New Roman" w:eastAsia="Times New Roman" w:hAnsi="Times New Roman"/>
          <w:sz w:val="22"/>
          <w:szCs w:val="22"/>
          <w:color w:val="auto"/>
        </w:rPr>
        <w:t>THE PARTIES TO THIS AGREEMENT HAVE READ THE FOREGOING AGREEMENT AND FULLY UNDERSTAND EACH AND EVERY PROVISION CONTAINED HEREIN. WHEREFORE, THE PARTIES HAVE EXECUTED THIS AGREEMENT ON THE DATES SHOWN BELOW.</w:t>
      </w:r>
    </w:p>
    <w:p>
      <w:pPr>
        <w:spacing w:after="0" w:line="16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ADEIA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416560</wp:posOffset>
            </wp:positionV>
            <wp:extent cx="2286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Dated: [•], 2026</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w:t>
      </w:r>
    </w:p>
    <w:p>
      <w:pPr>
        <w:ind w:left="4500"/>
        <w:spacing w:after="0" w:line="230" w:lineRule="auto"/>
        <w:rPr>
          <w:sz w:val="20"/>
          <w:szCs w:val="20"/>
          <w:color w:val="auto"/>
        </w:rPr>
      </w:pPr>
      <w:r>
        <w:rPr>
          <w:rFonts w:ascii="Times New Roman" w:cs="Times New Roman" w:eastAsia="Times New Roman" w:hAnsi="Times New Roman"/>
          <w:sz w:val="22"/>
          <w:szCs w:val="22"/>
          <w:color w:val="auto"/>
        </w:rPr>
        <w:t>Name: [•]</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w:t>
      </w:r>
    </w:p>
    <w:p>
      <w:pPr>
        <w:spacing w:after="0" w:line="3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416560</wp:posOffset>
            </wp:positionV>
            <wp:extent cx="2286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Dated: [•], 2026</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Print Name: [•]</w:t>
      </w:r>
    </w:p>
    <w:p>
      <w:pPr>
        <w:ind w:left="45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Amended and Restated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7" w:name="page58"/>
    <w:bookmarkEnd w:id="57"/>
    <w:p>
      <w:pPr>
        <w:ind w:left="9600"/>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GENERAL RELEASE OF CLAIMS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[The language in this Release may change based on legal developments and evolving best practices; provided, however, that no new post-termination covenants shall be imposed on Executive; this form is provided as an example of what will be included in the final Release document.]</w:t>
      </w:r>
    </w:p>
    <w:p>
      <w:pPr>
        <w:spacing w:after="0" w:line="16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This General Release of Claims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is entered into as of this [●] day of [●], [●], between [●]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Adeia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(collectively referred to herein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Executive and the Company are parties to that certain Amended and Restated Severance Agreement effective as of [•], 2026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Parties agree that Executive is entitled to certain severance benefits under the Agreement, subject to Executive’s execution of this Release; and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Company and Executive now wish to fully and finally to resolve all matters between them.</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and subject to, the severance benefits payable to Executive pursuant to the Agreement, the adequacy of which is hereby acknowledged by Executive, and which Executive acknowledges that he or she would not otherwise be entitled to receive, Executive and the Company hereby agree as follows:</w:t>
      </w:r>
    </w:p>
    <w:p>
      <w:pPr>
        <w:spacing w:after="0" w:line="173" w:lineRule="exact"/>
        <w:rPr>
          <w:sz w:val="20"/>
          <w:szCs w:val="20"/>
          <w:color w:val="auto"/>
        </w:rPr>
      </w:pPr>
    </w:p>
    <w:p>
      <w:pPr>
        <w:ind w:left="1020" w:hanging="263"/>
        <w:spacing w:after="0"/>
        <w:tabs>
          <w:tab w:leader="none" w:pos="10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 of Claims by Executive.</w:t>
      </w:r>
    </w:p>
    <w:p>
      <w:pPr>
        <w:spacing w:after="0" w:line="20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on behalf of himself or herself and his or her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Executive is or has been a participant by virtue of his or her employment with or service to the Company (collectively, the “</w:t>
      </w:r>
      <w:r>
        <w:rPr>
          <w:rFonts w:ascii="Times New Roman" w:cs="Times New Roman" w:eastAsia="Times New Roman" w:hAnsi="Times New Roman"/>
          <w:sz w:val="22"/>
          <w:szCs w:val="22"/>
          <w:b w:val="1"/>
          <w:bCs w:val="1"/>
          <w:i w:val="1"/>
          <w:iCs w:val="1"/>
          <w:color w:val="auto"/>
        </w:rPr>
        <w:t>Company Releasees</w:t>
      </w:r>
      <w:r>
        <w:rPr>
          <w:rFonts w:ascii="Times New Roman" w:cs="Times New Roman" w:eastAsia="Times New Roman" w:hAnsi="Times New Roman"/>
          <w:sz w:val="22"/>
          <w:szCs w:val="22"/>
          <w:color w:val="auto"/>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 asserted or unasserted, suspected or unsuspected (collectively,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which Executive has or may have had against such entities based on any events or circumstances arising or occurring on or prior to the date hereof or on or prior to the date hereof, arising directly or indirectly out of, relating to, or in any other way involving in any manner whatsoever Executive’s employment by or service to the Company or the termination thereof, including any and all claims arising under federal, state, or local laws relating to employment, including without limitation claims of wrongful discharge, breach of express or implied contract, fraud, misrepresentation,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8" w:name="page59"/>
    <w:bookmarkEnd w:id="58"/>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defamation, or liability in tort, and claims of any kind that may be brought in any court or administrative agency including, without limitation, claims under Title VII of the Civil Rights Act of 1964, as amended, 42 U.S.C. Section 2000,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Americans with Disabilities Act, as amended, 42 U.S.C. § 12101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Rehabilitation Act of 1973, as amended, 29 U.S.C. § 701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Civil Rights Act of 1866, and the Civil Rights Act of 1991; 42 U.S.C. Section 1981,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Age Discrimination in Employment Act, as amended, 29 U.S.C. Section 621,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 xml:space="preserve">”); the Equal Pay Act, as amended, 29 U.S.C. Section 206(d); regulations of the Office of Federal Contract Compliance, 41 C.F.R. Section 60,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Family and Medical Leave Act, as amended, 29 U.S.C. § 2601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Fair Labor Standards Act of 1938, as amended, 29 U.S.C. § 201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Employee Retirement Income Security Act, as amended, 29 U.S.C. § 1001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and the California Fair Employment and Housing Act, California Government Code Section 12940,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generality of the foregoing, Executive does not release the following claims:</w:t>
      </w:r>
    </w:p>
    <w:p>
      <w:pPr>
        <w:spacing w:after="0" w:line="206" w:lineRule="exact"/>
        <w:rPr>
          <w:sz w:val="20"/>
          <w:szCs w:val="20"/>
          <w:color w:val="auto"/>
        </w:rPr>
      </w:pPr>
    </w:p>
    <w:p>
      <w:pPr>
        <w:ind w:left="2560" w:hanging="306"/>
        <w:spacing w:after="0"/>
        <w:tabs>
          <w:tab w:leader="none" w:pos="25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unemployment compensation or any state disability insurance benefits pursuant to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of applicable state law;</w:t>
      </w:r>
    </w:p>
    <w:p>
      <w:pPr>
        <w:spacing w:after="0" w:line="182"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workers’ compensation insurance benefits under the terms of any worker’s compensation insurance policy or fund of the Company;</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(iii)Claims pursuant to the terms and conditions of the federal law known as COBRA;</w:t>
      </w:r>
    </w:p>
    <w:p>
      <w:pPr>
        <w:spacing w:after="0" w:line="206"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(iv)Claims for indemnity under the bylaws of the Company, as provided for by California law or under any applicable insurance policy or indemnification agreement with respect to Executive’s liability as an employee, director or officer of the Company;</w:t>
      </w:r>
    </w:p>
    <w:p>
      <w:pPr>
        <w:spacing w:after="0" w:line="173" w:lineRule="exact"/>
        <w:rPr>
          <w:sz w:val="20"/>
          <w:szCs w:val="20"/>
          <w:color w:val="auto"/>
        </w:rPr>
      </w:pPr>
    </w:p>
    <w:p>
      <w:pPr>
        <w:jc w:val="both"/>
        <w:ind w:firstLine="2254"/>
        <w:spacing w:after="0" w:line="244" w:lineRule="auto"/>
        <w:tabs>
          <w:tab w:leader="none" w:pos="254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based on any right Executive may have to enforce the Company’s executory obligations under the Agreement (including, for the avoidance of doubt, Claims to enforce the Company’s obligations to pay or provide payments and benefits that are contingent on the effectiveness of this Release); and</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(vi)Claims Executive may have to vested or earned compensation and benefits.</w:t>
      </w:r>
    </w:p>
    <w:p>
      <w:pPr>
        <w:spacing w:after="0" w:line="206" w:lineRule="exact"/>
        <w:rPr>
          <w:sz w:val="20"/>
          <w:szCs w:val="20"/>
          <w:color w:val="auto"/>
        </w:rPr>
      </w:pPr>
    </w:p>
    <w:p>
      <w:pPr>
        <w:ind w:right="20" w:firstLine="1505"/>
        <w:spacing w:after="0" w:line="282" w:lineRule="auto"/>
        <w:tabs>
          <w:tab w:leader="none" w:pos="203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HE OR SHE HAS BEEN ADVISED OF AND IS FAMILIAR WITH THE PROVISIONS OF CALIFORNIA CIVIL CODE SECTION 1542, WHICH PROVIDES AS FOLLOWS:</w:t>
      </w:r>
    </w:p>
    <w:p>
      <w:pPr>
        <w:spacing w:after="0" w:line="1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jc w:val="both"/>
        <w:spacing w:after="0" w:line="244" w:lineRule="auto"/>
        <w:rPr>
          <w:sz w:val="20"/>
          <w:szCs w:val="20"/>
          <w:color w:val="auto"/>
        </w:rPr>
      </w:pPr>
      <w:r>
        <w:rPr>
          <w:rFonts w:ascii="Times New Roman" w:cs="Times New Roman" w:eastAsia="Times New Roman" w:hAnsi="Times New Roman"/>
          <w:sz w:val="22"/>
          <w:szCs w:val="22"/>
          <w:color w:val="auto"/>
        </w:rPr>
        <w:t>BEING AWARE OF SAID CODE SECTION, EXECUTIVE HEREBY EXPRESSLY WAIVES ANY RIGHTS HE OR SHE MAY HAVE THEREUNDER, AS WELL AS UNDER ANY OTHER STATUTES OR COMMON LAW PRINCIPLES OF SIMILAR EFFECT.</w:t>
      </w:r>
    </w:p>
    <w:p>
      <w:pPr>
        <w:spacing w:after="0" w:line="173" w:lineRule="exact"/>
        <w:rPr>
          <w:sz w:val="20"/>
          <w:szCs w:val="20"/>
          <w:color w:val="auto"/>
        </w:rPr>
      </w:pPr>
    </w:p>
    <w:p>
      <w:pPr>
        <w:jc w:val="both"/>
        <w:ind w:firstLine="1505"/>
        <w:spacing w:after="0" w:line="235" w:lineRule="auto"/>
        <w:tabs>
          <w:tab w:leader="none" w:pos="203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this Release was presented to him or her on the date indicated above and that Executive is entitled to have twenty-one (21) days’ time in which to consider it. Executive further acknowledges that the Company has advised him or her that he or she is waiving his or her rights under the ADEA, and that Executive should consult with an attorney of his or her choice before signing this Release, and Executive has had sufficient time to consider the terms of this Release. Executive represents and acknowledges that if Executive executes this Release before twenty-one (21) days have elapsed, Executive does so knowingly, voluntarily, and upon the advice and with the approval of Executive’s legal counsel (if any), and that Executive voluntarily waives any remaining consideration period.</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understands that after executing this Release, Executive has the right to revoke it within seven</w:t>
      </w:r>
    </w:p>
    <w:p>
      <w:pPr>
        <w:spacing w:after="0" w:line="25" w:lineRule="exact"/>
        <w:rPr>
          <w:rFonts w:ascii="Times New Roman" w:cs="Times New Roman" w:eastAsia="Times New Roman" w:hAnsi="Times New Roman"/>
          <w:sz w:val="21"/>
          <w:szCs w:val="21"/>
          <w:color w:val="auto"/>
        </w:rPr>
      </w:pPr>
    </w:p>
    <w:p>
      <w:pPr>
        <w:jc w:val="both"/>
        <w:ind w:firstLine="8"/>
        <w:spacing w:after="0" w:line="233" w:lineRule="auto"/>
        <w:tabs>
          <w:tab w:leader="none" w:pos="31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his or her execution of it. Executive understands that this Release will not become effective and enforceable unless the seven (7) day revocation period passes and Executive does not revoke the Release in writing. Executive understands that this Release may not be revoked after the seven (7) day revocation period has passed. Executive also understands that any revocation of this Release must be made in writing and delivered to the Company at its principal place of business within the seven (7) day period.</w:t>
      </w:r>
    </w:p>
    <w:p>
      <w:pPr>
        <w:spacing w:after="0" w:line="179"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understands that this Release shall become effective, irrevocable, and binding upon Executive on the eighth (8th) day after his or her execution of it, so long as Executive has not revoked it within the time period and in the manner specified in clause (d) above. Executive further understands that Executive will not be given any severance benefits under the Agreement unless this Release is effective on or before the date that is sixty (60) days following the Date of Termination (as defined in the Agreement).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Release shall be deemed to restrict Executive’s right to communicate directly with, cooperate with, provide information to, or report possible violations of federal law or regulation to, any governmental agency or entity in accordance with the provisions of and rules promulgated under Section 21F of the Exchange Act or Section 806 of the Sarbanes- Oxley Act of 2002, or any other whistleblower protection provisions of state or federal law or regulation, including, but not limited to, the U.S. Securities and Exchange Commission, the U.S. Commodity Futures Trading Commission, or the U.S. Department of Justice.</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Executive represents and warrants to the Company Releasees that there has been no assignment or other transfer of any interest in any Claim that Executive may have against the Company Releasees. Executive agrees to indemnify and hold harmless the Company Releasees from any liability, claims, demands, damages, costs, expenses and attorneys’ fees incurred as a result of any such assignment or transfer from Executive.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22"/>
          <w:szCs w:val="22"/>
          <w:color w:val="auto"/>
        </w:rPr>
        <w:t>deemed modification is not satisfactory in the judgment of such arbitrator or court, the unenforceable provision shall be deemed deleted, and the validity and enforceability of the remaining provisions shall not be affected thereby.</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Interpretation; Construction</w:t>
      </w:r>
      <w:r>
        <w:rPr>
          <w:rFonts w:ascii="Times New Roman" w:cs="Times New Roman" w:eastAsia="Times New Roman" w:hAnsi="Times New Roman"/>
          <w:sz w:val="22"/>
          <w:szCs w:val="22"/>
          <w:color w:val="auto"/>
        </w:rPr>
        <w:t>. The headings set forth in this Release are for convenience only and shall not be used in interpreting this Agreement. This Release has been drafted by legal counsel representing the Company, but Executive has participated in the negotiation of its terms. Furthermore, Executive acknowledges that Executive has had an opportunity to review and revise the Release and have it reviewed by legal counsel, if desired, and, therefore, the normal rule of construction to the effect that any ambiguities are to be resolved against the drafting party shall not be employed in the interpretation of this Release. Either party’s failure to enforce any provision of this Release shall not in any way be construed as a waiver of any such provision, or prevent that party thereafter from enforcing each and every other provision of this Release.</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Release will be governed by and construed in accordance with the laws of the United States of America and the State of California applicable to contracts made and to be performed wholly within such State, and without regard to the conflicts of laws principles thereof. Any suit brought hereon shall be brought in the state or federal courts sitting in Santa Clara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Release and the Agreement constitute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Executive and an authorized representative of the Company. No oral waiver, amendment or modification will be effective under any circumstances whatsoever.</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Release may be executed in multiple counterparts, each of which shall be deemed to be an original but all of which together shall constitute one and the same instrument.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1" w:name="page62"/>
    <w:bookmarkEnd w:id="61"/>
    <w:p>
      <w:pPr>
        <w:spacing w:after="0" w:line="258" w:lineRule="auto"/>
        <w:rPr>
          <w:sz w:val="20"/>
          <w:szCs w:val="20"/>
          <w:color w:val="auto"/>
        </w:rPr>
      </w:pPr>
      <w:r>
        <w:rPr>
          <w:rFonts w:ascii="Times New Roman" w:cs="Times New Roman" w:eastAsia="Times New Roman" w:hAnsi="Times New Roman"/>
          <w:sz w:val="22"/>
          <w:szCs w:val="22"/>
          <w:color w:val="auto"/>
        </w:rPr>
        <w:t>IN WITNESS WHEREOF, and intending to be legally bound, the Parties have executed the foregoing Release as of the date first written above.</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ADEIA INC.</w:t>
      </w:r>
    </w:p>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304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3048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3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Print Name:</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1148715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 w:name="page63"/>
    <w:bookmarkEnd w:id="62"/>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CONFIDENTIALITY AGREEMENT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Attached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1166495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63" w:name="page64"/>
    <w:bookmarkEnd w:id="63"/>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PROPRIETARY INFORMATION, INVENTIONS AND ETHICS AGREEMENT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Attached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1166495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color w:val="auto"/>
        </w:rPr>
        <w:t>SEVERANCE AGREEMENT</w:t>
      </w:r>
    </w:p>
    <w:p>
      <w:pPr>
        <w:spacing w:after="0" w:line="3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This Severance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by and between Adeia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Dipti Vachani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effective as of October 12, 2026 (such date,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For purposes of this Agreement,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mean the Company and any successor to the Company’s business and/or assets which assumes and agrees to perform this Agreement by operation of law or otherwise.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agree as follows:</w:t>
      </w:r>
    </w:p>
    <w:p>
      <w:pPr>
        <w:spacing w:after="0" w:line="206" w:lineRule="exact"/>
        <w:rPr>
          <w:sz w:val="20"/>
          <w:szCs w:val="20"/>
          <w:color w:val="auto"/>
        </w:rPr>
      </w:pPr>
    </w:p>
    <w:p>
      <w:pPr>
        <w:ind w:left="1020" w:hanging="263"/>
        <w:spacing w:after="0"/>
        <w:tabs>
          <w:tab w:leader="none" w:pos="10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p>
    <w:p>
      <w:pPr>
        <w:spacing w:after="0" w:line="206" w:lineRule="exact"/>
        <w:rPr>
          <w:sz w:val="20"/>
          <w:szCs w:val="20"/>
          <w:color w:val="auto"/>
        </w:rPr>
      </w:pPr>
    </w:p>
    <w:p>
      <w:pPr>
        <w:ind w:left="120" w:hanging="112"/>
        <w:spacing w:after="0"/>
        <w:tabs>
          <w:tab w:leader="none" w:pos="1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the following terms shall have the following meanings:</w:t>
      </w:r>
    </w:p>
    <w:p>
      <w:pPr>
        <w:spacing w:after="0" w:line="20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Firm</w:t>
      </w:r>
      <w:r>
        <w:rPr>
          <w:rFonts w:ascii="Times New Roman" w:cs="Times New Roman" w:eastAsia="Times New Roman" w:hAnsi="Times New Roman"/>
          <w:sz w:val="22"/>
          <w:szCs w:val="22"/>
          <w:color w:val="auto"/>
        </w:rPr>
        <w:t>” has the meaning ascribed to such term in Section 3(g)(ii).</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Accrued Obligations</w:t>
      </w:r>
      <w:r>
        <w:rPr>
          <w:rFonts w:ascii="Times New Roman" w:cs="Times New Roman" w:eastAsia="Times New Roman" w:hAnsi="Times New Roman"/>
          <w:sz w:val="22"/>
          <w:szCs w:val="22"/>
          <w:color w:val="auto"/>
        </w:rPr>
        <w:t>” has the meaning ascribed to such term in Section 3(a) (i).</w:t>
      </w:r>
    </w:p>
    <w:p>
      <w:pPr>
        <w:spacing w:after="0" w:line="206" w:lineRule="exact"/>
        <w:rPr>
          <w:rFonts w:ascii="Times New Roman" w:cs="Times New Roman" w:eastAsia="Times New Roman" w:hAnsi="Times New Roman"/>
          <w:sz w:val="22"/>
          <w:szCs w:val="22"/>
          <w:color w:val="auto"/>
        </w:rPr>
      </w:pPr>
    </w:p>
    <w:p>
      <w:pPr>
        <w:ind w:firstLine="1505"/>
        <w:spacing w:after="0" w:line="237" w:lineRule="auto"/>
        <w:tabs>
          <w:tab w:leader="none" w:pos="203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with respect to any entity, any other entity that, directly or indirectly, controls, is controlled by or is under common control with, such entity. An entity is regarded as in control of another entity if it (i) owns or controls, directly or indirectly, more than 50% of the total combined voting power of such entity, (ii) has the right to appoint directors entitled to cast a majority of the votes on each matter presented to the board of directors or other governing body of such entity or (iii) has the power to direct or cause the direction of the management or policies of such entity, whether through the ownership of voting securities, by contract or otherwise.</w:t>
      </w:r>
    </w:p>
    <w:p>
      <w:pPr>
        <w:spacing w:after="0" w:line="17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has the meaning ascribed to such term in the preamble.</w:t>
      </w:r>
    </w:p>
    <w:p>
      <w:pPr>
        <w:spacing w:after="0" w:line="206" w:lineRule="exact"/>
        <w:rPr>
          <w:rFonts w:ascii="Times New Roman" w:cs="Times New Roman" w:eastAsia="Times New Roman" w:hAnsi="Times New Roman"/>
          <w:sz w:val="22"/>
          <w:szCs w:val="22"/>
          <w:color w:val="auto"/>
        </w:rPr>
      </w:pPr>
    </w:p>
    <w:p>
      <w:pPr>
        <w:ind w:right="120" w:firstLine="1505"/>
        <w:spacing w:after="0" w:line="236" w:lineRule="auto"/>
        <w:tabs>
          <w:tab w:leader="none" w:pos="203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means Executive’s annual gross base salary from the Company or a Subsidiary for the applicable fiscal year before any deductions, exclusions, deferrals, or contributions on a tax-qualified or non-tax-qualified basis under any plan or program of the Company or a Subsidiary, and excluding bonuses and incentive compensation. If Executive is employed for less than a complete fiscal year, Base Salary for the fiscal year shall be the annualized gross base salary (subject to the adjustments described in the preceding sentence) based on Executive’s highest base salary rate during such fiscal year. Base Salary shall be determined under this Section 1(e) in accordance with the personnel records and established practices and procedures of the Company.</w:t>
      </w:r>
    </w:p>
    <w:p>
      <w:pPr>
        <w:spacing w:after="0" w:line="17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right="120" w:firstLine="1505"/>
        <w:spacing w:after="0" w:line="234" w:lineRule="auto"/>
        <w:tabs>
          <w:tab w:leader="none" w:pos="203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any of the following: (i) Executive’s gross negligence or willful misconduct in the performance of his or her duties to the Company and its Affiliates; (ii) Executive’s willful and habitual neglect of or failure to perform Executive’s duties of consulting or employment (which neglect or failure is not caused by Executive’s illness or mental or physical disability), which neglect or failure is not cured within thirty (30) days after written notice thereof is received by Executive (it being agreed that a failure of the Company and its Affiliates to meet performance objectives shall not, alone, constitute a failure by Executive to perform his duties); (iii) Executive’s commission of any material act of fraud, dishonesty or financial or accounting impropriety with respect to the Company and its Affiliates which results in a personal benefit to Executive; (iv) Executive’s failure to cooperate with the Company and its Affiliates in any investigation or formal proceeding initiated by a governmental authority or otherwise approved by the Board or the Audit Committee of the Board (which failure is not caused by Executive’s illness or mental or physical disability), which failure is not cured within thirty (30) days after written notice thereof is received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65" w:name="page66"/>
    <w:bookmarkEnd w:id="65"/>
    <w:p>
      <w:pPr>
        <w:ind w:right="260"/>
        <w:spacing w:after="0" w:line="237" w:lineRule="auto"/>
        <w:rPr>
          <w:sz w:val="20"/>
          <w:szCs w:val="20"/>
          <w:color w:val="auto"/>
        </w:rPr>
      </w:pPr>
      <w:r>
        <w:rPr>
          <w:rFonts w:ascii="Times New Roman" w:cs="Times New Roman" w:eastAsia="Times New Roman" w:hAnsi="Times New Roman"/>
          <w:sz w:val="22"/>
          <w:szCs w:val="22"/>
          <w:color w:val="auto"/>
        </w:rPr>
        <w:t xml:space="preserve">Executive; (v) Executive’s conviction of or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felony criminal conduct (other than moving vehicle violations); (vi) Executive’s material violation of the Company’s Confidentiality and Proprietary Rights Agreement (as defined below) or similar agreement that Executive has entered into with the Company; or (vii) Executive’s material breach of any obligation or duty under this Agreement or material violation of any written employment or other Company policies that have previously been furnished to Executive, which breach or violation is not cured within thirty (30) days after written notice thereof is received by Executive, if such breach or violation is capable of being cured.</w:t>
      </w:r>
    </w:p>
    <w:p>
      <w:pPr>
        <w:spacing w:after="0" w:line="173" w:lineRule="exact"/>
        <w:rPr>
          <w:sz w:val="20"/>
          <w:szCs w:val="20"/>
          <w:color w:val="auto"/>
        </w:rPr>
      </w:pPr>
    </w:p>
    <w:p>
      <w:pPr>
        <w:ind w:left="2040" w:hanging="535"/>
        <w:spacing w:after="0"/>
        <w:tabs>
          <w:tab w:leader="none" w:pos="20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and includes each of the following:</w:t>
      </w:r>
    </w:p>
    <w:p>
      <w:pPr>
        <w:spacing w:after="0" w:line="212" w:lineRule="exact"/>
        <w:rPr>
          <w:sz w:val="20"/>
          <w:szCs w:val="20"/>
          <w:color w:val="auto"/>
        </w:rPr>
      </w:pPr>
    </w:p>
    <w:p>
      <w:pPr>
        <w:ind w:right="40" w:firstLine="2246"/>
        <w:spacing w:after="0" w:line="235" w:lineRule="auto"/>
        <w:rPr>
          <w:sz w:val="20"/>
          <w:szCs w:val="20"/>
          <w:color w:val="auto"/>
        </w:rPr>
      </w:pPr>
      <w:r>
        <w:rPr>
          <w:rFonts w:ascii="Times New Roman" w:cs="Times New Roman" w:eastAsia="Times New Roman" w:hAnsi="Times New Roman"/>
          <w:sz w:val="22"/>
          <w:szCs w:val="22"/>
          <w:color w:val="auto"/>
        </w:rPr>
        <w:t>1.1.8.1.A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fifty percent (50%) of the total combined voting power of the Company’s securities outstanding immediately after such acquisition; or</w:t>
      </w:r>
    </w:p>
    <w:p>
      <w:pPr>
        <w:spacing w:after="0" w:line="178" w:lineRule="exact"/>
        <w:rPr>
          <w:sz w:val="20"/>
          <w:szCs w:val="20"/>
          <w:color w:val="auto"/>
        </w:rPr>
      </w:pPr>
    </w:p>
    <w:p>
      <w:pPr>
        <w:ind w:right="80" w:firstLine="2246"/>
        <w:spacing w:after="0" w:line="239" w:lineRule="auto"/>
        <w:rPr>
          <w:sz w:val="20"/>
          <w:szCs w:val="20"/>
          <w:color w:val="auto"/>
        </w:rPr>
      </w:pPr>
      <w:r>
        <w:rPr>
          <w:rFonts w:ascii="Times New Roman" w:cs="Times New Roman" w:eastAsia="Times New Roman" w:hAnsi="Times New Roman"/>
          <w:sz w:val="22"/>
          <w:szCs w:val="22"/>
          <w:color w:val="auto"/>
        </w:rPr>
        <w:t>1.1.8.2.The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80" w:lineRule="exact"/>
        <w:rPr>
          <w:sz w:val="20"/>
          <w:szCs w:val="20"/>
          <w:color w:val="auto"/>
        </w:rPr>
      </w:pPr>
    </w:p>
    <w:p>
      <w:pPr>
        <w:ind w:right="80" w:firstLine="2995"/>
        <w:spacing w:after="0" w:line="236" w:lineRule="auto"/>
        <w:rPr>
          <w:sz w:val="20"/>
          <w:szCs w:val="20"/>
          <w:color w:val="auto"/>
        </w:rPr>
      </w:pPr>
      <w:r>
        <w:rPr>
          <w:rFonts w:ascii="Times New Roman" w:cs="Times New Roman" w:eastAsia="Times New Roman" w:hAnsi="Times New Roman"/>
          <w:sz w:val="22"/>
          <w:szCs w:val="22"/>
          <w:color w:val="auto"/>
        </w:rPr>
        <w:t>1.1.8.2.1.Which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2"/>
          <w:szCs w:val="22"/>
          <w:b w:val="1"/>
          <w:bCs w:val="1"/>
          <w:i w:val="1"/>
          <w:iCs w:val="1"/>
          <w:color w:val="auto"/>
        </w:rPr>
        <w:t>Successor Entity</w:t>
      </w:r>
      <w:r>
        <w:rPr>
          <w:rFonts w:ascii="Times New Roman" w:cs="Times New Roman" w:eastAsia="Times New Roman" w:hAnsi="Times New Roman"/>
          <w:sz w:val="22"/>
          <w:szCs w:val="22"/>
          <w:color w:val="auto"/>
        </w:rPr>
        <w:t>”)) directly or indirectly, at least a majority of the combined voting power of the Successor Entity’s outstanding voting securities immediately after the transaction, and</w:t>
      </w:r>
    </w:p>
    <w:p>
      <w:pPr>
        <w:spacing w:after="0" w:line="181" w:lineRule="exact"/>
        <w:rPr>
          <w:sz w:val="20"/>
          <w:szCs w:val="20"/>
          <w:color w:val="auto"/>
        </w:rPr>
      </w:pPr>
    </w:p>
    <w:p>
      <w:pPr>
        <w:ind w:right="100" w:firstLine="2995"/>
        <w:spacing w:after="0" w:line="255" w:lineRule="auto"/>
        <w:rPr>
          <w:sz w:val="20"/>
          <w:szCs w:val="20"/>
          <w:color w:val="auto"/>
        </w:rPr>
      </w:pPr>
      <w:r>
        <w:rPr>
          <w:rFonts w:ascii="Times New Roman" w:cs="Times New Roman" w:eastAsia="Times New Roman" w:hAnsi="Times New Roman"/>
          <w:sz w:val="21"/>
          <w:szCs w:val="21"/>
          <w:color w:val="auto"/>
        </w:rPr>
        <w:t xml:space="preserve">1.1.8.2.2.After which no person or group beneficially owns voting securities representing fifty percent (50%) or more of the combined voting power of the Successor Entity;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person or group shall be treated for purposes of this Section 1(h)(ii)(B) as beneficially owning fifty percent (50%) or more of combined voting power of the Successor Entity solely as a result of the voting power held in the Company prior to the consummation of the transaction.</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Notwithstanding the foregoing, to the extent required by Section 409A of the Code, if a Change in Control would give rise to a payment or benefit event with respect to any payment or benefit hereunder that constitutes “nonqualified deferred compensation,” the transaction or event constituting the Change in Control must also constitute a “change in control event” (as defined in Treasury Regulation §1.409A-3(i)(5)) in order to give rise to the payment or benefit, to the extent required by Section 409A of the Code.</w:t>
      </w:r>
    </w:p>
    <w:p>
      <w:pPr>
        <w:spacing w:after="0" w:line="171" w:lineRule="exact"/>
        <w:rPr>
          <w:sz w:val="20"/>
          <w:szCs w:val="20"/>
          <w:color w:val="auto"/>
        </w:rPr>
      </w:pPr>
    </w:p>
    <w:p>
      <w:pPr>
        <w:ind w:left="2040" w:hanging="535"/>
        <w:spacing w:after="0"/>
        <w:tabs>
          <w:tab w:leader="none" w:pos="20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means the Consolidated Omnibus Budget Reconciliation Act of 1985,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6" w:name="page67"/>
    <w:bookmarkEnd w:id="66"/>
    <w:p>
      <w:pPr>
        <w:ind w:left="2040" w:hanging="535"/>
        <w:spacing w:after="0"/>
        <w:tabs>
          <w:tab w:leader="none" w:pos="20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COBRA CIC Coverage Period</w:t>
      </w:r>
      <w:r>
        <w:rPr>
          <w:rFonts w:ascii="Times New Roman" w:cs="Times New Roman" w:eastAsia="Times New Roman" w:hAnsi="Times New Roman"/>
          <w:sz w:val="22"/>
          <w:szCs w:val="22"/>
          <w:color w:val="auto"/>
        </w:rPr>
        <w:t>” has the meaning ascribed to such term in Section 3(b)(iii).</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COBRA Coverage Period</w:t>
      </w:r>
      <w:r>
        <w:rPr>
          <w:rFonts w:ascii="Times New Roman" w:cs="Times New Roman" w:eastAsia="Times New Roman" w:hAnsi="Times New Roman"/>
          <w:sz w:val="22"/>
          <w:szCs w:val="22"/>
          <w:color w:val="auto"/>
        </w:rPr>
        <w:t>” has the meaning ascribed to such term in Section 3(a)(iii).</w:t>
      </w:r>
    </w:p>
    <w:p>
      <w:pPr>
        <w:spacing w:after="0" w:line="206" w:lineRule="exact"/>
        <w:rPr>
          <w:rFonts w:ascii="Times New Roman" w:cs="Times New Roman" w:eastAsia="Times New Roman" w:hAnsi="Times New Roman"/>
          <w:sz w:val="22"/>
          <w:szCs w:val="22"/>
          <w:color w:val="auto"/>
        </w:rPr>
      </w:pPr>
    </w:p>
    <w:p>
      <w:pPr>
        <w:ind w:right="220" w:firstLine="1505"/>
        <w:spacing w:after="0" w:line="264"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and the Treasury Regulations and other interpretive guidance thereunder.</w:t>
      </w:r>
    </w:p>
    <w:p>
      <w:pPr>
        <w:spacing w:after="0" w:line="14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the meaning ascribed to such term in the preamble.</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Date of Termination</w:t>
      </w:r>
      <w:r>
        <w:rPr>
          <w:rFonts w:ascii="Times New Roman" w:cs="Times New Roman" w:eastAsia="Times New Roman" w:hAnsi="Times New Roman"/>
          <w:sz w:val="22"/>
          <w:szCs w:val="22"/>
          <w:color w:val="auto"/>
        </w:rPr>
        <w:t>” means the date of a Qualifying Termination.</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has the meaning ascribed to such term in the preamble.</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has the meaning ascribed to such term in Section 3(g)(i).</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the occurrence of any of the following events or conditions without Executive’s</w:t>
      </w:r>
    </w:p>
    <w:p>
      <w:pPr>
        <w:spacing w:after="0" w:line="2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consent:</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1.1.17.1.a material diminution in Executive’s authority, duties or responsibilities;</w:t>
      </w:r>
    </w:p>
    <w:p>
      <w:pPr>
        <w:spacing w:after="0" w:line="206" w:lineRule="exact"/>
        <w:rPr>
          <w:sz w:val="20"/>
          <w:szCs w:val="20"/>
          <w:color w:val="auto"/>
        </w:rPr>
      </w:pPr>
    </w:p>
    <w:p>
      <w:pPr>
        <w:ind w:right="20" w:firstLine="2246"/>
        <w:spacing w:after="0" w:line="238" w:lineRule="auto"/>
        <w:rPr>
          <w:sz w:val="20"/>
          <w:szCs w:val="20"/>
          <w:color w:val="auto"/>
        </w:rPr>
      </w:pPr>
      <w:r>
        <w:rPr>
          <w:rFonts w:ascii="Times New Roman" w:cs="Times New Roman" w:eastAsia="Times New Roman" w:hAnsi="Times New Roman"/>
          <w:sz w:val="22"/>
          <w:szCs w:val="22"/>
          <w:color w:val="auto"/>
        </w:rPr>
        <w:t>1.1.17.2.a material diminution in Executive’s Base Salary or target annual bonus opportunity, unless such reduction is imposed across-the-board to senior management of the Company (and Executive and the Company agree that without limiting any argument that a lesser diminution is material, any diminution of ten percent (10%) or more measured against Executive’s Base Salary and target bonus opportunity as in effect on the Effective Date shall be deemed material for purposes of this clause (ii));</w:t>
      </w:r>
    </w:p>
    <w:p>
      <w:pPr>
        <w:spacing w:after="0" w:line="177" w:lineRule="exact"/>
        <w:rPr>
          <w:sz w:val="20"/>
          <w:szCs w:val="20"/>
          <w:color w:val="auto"/>
        </w:rPr>
      </w:pPr>
    </w:p>
    <w:p>
      <w:pPr>
        <w:ind w:right="20" w:firstLine="2246"/>
        <w:spacing w:after="0" w:line="239" w:lineRule="auto"/>
        <w:rPr>
          <w:sz w:val="20"/>
          <w:szCs w:val="20"/>
          <w:color w:val="auto"/>
        </w:rPr>
      </w:pPr>
      <w:r>
        <w:rPr>
          <w:rFonts w:ascii="Times New Roman" w:cs="Times New Roman" w:eastAsia="Times New Roman" w:hAnsi="Times New Roman"/>
          <w:sz w:val="22"/>
          <w:szCs w:val="22"/>
          <w:color w:val="auto"/>
        </w:rPr>
        <w:t>1.1.17.3.a material change in the geographic location at which Executive must perform Executive’s duties (and the Company and Executive acknowledge and agree that a change in the geographic location at which Executive must perform Executive’s duties by more than forty-five (45) miles shall constitute a material change for purposes of this Agreement); or</w:t>
      </w:r>
    </w:p>
    <w:p>
      <w:pPr>
        <w:spacing w:after="0" w:line="180" w:lineRule="exact"/>
        <w:rPr>
          <w:sz w:val="20"/>
          <w:szCs w:val="20"/>
          <w:color w:val="auto"/>
        </w:rPr>
      </w:pPr>
    </w:p>
    <w:p>
      <w:pPr>
        <w:ind w:right="880" w:firstLine="2246"/>
        <w:spacing w:after="0" w:line="258" w:lineRule="auto"/>
        <w:rPr>
          <w:sz w:val="20"/>
          <w:szCs w:val="20"/>
          <w:color w:val="auto"/>
        </w:rPr>
      </w:pPr>
      <w:r>
        <w:rPr>
          <w:rFonts w:ascii="Times New Roman" w:cs="Times New Roman" w:eastAsia="Times New Roman" w:hAnsi="Times New Roman"/>
          <w:sz w:val="22"/>
          <w:szCs w:val="22"/>
          <w:color w:val="auto"/>
        </w:rPr>
        <w:t>1.1.17.4.any other action or inaction that constitutes a material breach by the Company or any successor or Affiliate of the Company of its obligations to Executive under this Agreement.</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Executive must provide written notice to the Company of the occurrence of any of the foregoing events or conditions without Executive’s written consent within ninety (90) days of Executive learning of the occurrence of such event. The Company or any successor or Affiliate of the Company shall have a period of thirty (30) days to cure such event or condition after receipt of written notice of such event from Executive. Any voluntary termination by Executive for “Good Reason” following such thirty</w:t>
      </w:r>
    </w:p>
    <w:p>
      <w:pPr>
        <w:spacing w:after="0" w:line="1" w:lineRule="exact"/>
        <w:rPr>
          <w:sz w:val="20"/>
          <w:szCs w:val="20"/>
          <w:color w:val="auto"/>
        </w:rPr>
      </w:pPr>
    </w:p>
    <w:p>
      <w:pPr>
        <w:ind w:firstLine="8"/>
        <w:spacing w:after="0" w:line="237" w:lineRule="auto"/>
        <w:tabs>
          <w:tab w:leader="none" w:pos="43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cure period must occur no later than the date that is six (6) months following the occurrence of one of the foregoing events or conditions without Executive’s written consent.</w:t>
      </w:r>
    </w:p>
    <w:p>
      <w:pPr>
        <w:spacing w:after="0" w:line="17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JAMS</w:t>
      </w:r>
      <w:r>
        <w:rPr>
          <w:rFonts w:ascii="Times New Roman" w:cs="Times New Roman" w:eastAsia="Times New Roman" w:hAnsi="Times New Roman"/>
          <w:sz w:val="22"/>
          <w:szCs w:val="22"/>
          <w:color w:val="auto"/>
        </w:rPr>
        <w:t>” has the meaning ascribed to such term in Section 5.</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has the meaning ascribed to such term in Section 3(g)(i).</w:t>
      </w:r>
    </w:p>
    <w:p>
      <w:pPr>
        <w:spacing w:after="0" w:line="206" w:lineRule="exact"/>
        <w:rPr>
          <w:rFonts w:ascii="Times New Roman" w:cs="Times New Roman" w:eastAsia="Times New Roman" w:hAnsi="Times New Roman"/>
          <w:sz w:val="22"/>
          <w:szCs w:val="22"/>
          <w:color w:val="auto"/>
        </w:rPr>
      </w:pPr>
    </w:p>
    <w:p>
      <w:pPr>
        <w:ind w:right="120" w:firstLine="1505"/>
        <w:spacing w:after="0" w:line="247" w:lineRule="auto"/>
        <w:tabs>
          <w:tab w:leader="none" w:pos="203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Permanent Disability</w:t>
      </w:r>
      <w:r>
        <w:rPr>
          <w:rFonts w:ascii="Times New Roman" w:cs="Times New Roman" w:eastAsia="Times New Roman" w:hAnsi="Times New Roman"/>
          <w:sz w:val="22"/>
          <w:szCs w:val="22"/>
          <w:color w:val="auto"/>
        </w:rPr>
        <w:t>” means Executive’s inability to perform the essential functions of Executive’s position, with or without reasonable accommodation, for a period of at least one hundred twenty (120) consecutive days because of a physical or mental impairment.</w:t>
      </w:r>
    </w:p>
    <w:p>
      <w:pPr>
        <w:spacing w:after="0" w:line="163" w:lineRule="exact"/>
        <w:rPr>
          <w:rFonts w:ascii="Times New Roman" w:cs="Times New Roman" w:eastAsia="Times New Roman" w:hAnsi="Times New Roman"/>
          <w:sz w:val="22"/>
          <w:szCs w:val="22"/>
          <w:color w:val="auto"/>
        </w:rPr>
      </w:pPr>
    </w:p>
    <w:p>
      <w:pPr>
        <w:ind w:right="360" w:firstLine="1505"/>
        <w:spacing w:after="0" w:line="247" w:lineRule="auto"/>
        <w:tabs>
          <w:tab w:leader="none" w:pos="203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Qualifying Termination</w:t>
      </w:r>
      <w:r>
        <w:rPr>
          <w:rFonts w:ascii="Times New Roman" w:cs="Times New Roman" w:eastAsia="Times New Roman" w:hAnsi="Times New Roman"/>
          <w:sz w:val="22"/>
          <w:szCs w:val="22"/>
          <w:color w:val="auto"/>
        </w:rPr>
        <w:t>” means the termination of Executive’s employment by the Company and its Subsidiaries without Cause, or by Executive for Good Reason. It is intended that any Qualifying Termination shall be a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67" w:name="page68"/>
    <w:bookmarkEnd w:id="67"/>
    <w:p>
      <w:pPr>
        <w:ind w:left="2040" w:hanging="535"/>
        <w:spacing w:after="0"/>
        <w:tabs>
          <w:tab w:leader="none" w:pos="20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has the meaning ascribed to such term in Section 3(d).</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Rules</w:t>
      </w:r>
      <w:r>
        <w:rPr>
          <w:rFonts w:ascii="Times New Roman" w:cs="Times New Roman" w:eastAsia="Times New Roman" w:hAnsi="Times New Roman"/>
          <w:sz w:val="22"/>
          <w:szCs w:val="22"/>
          <w:color w:val="auto"/>
        </w:rPr>
        <w:t>” has the meaning ascribed to such term in Section 5.</w:t>
      </w:r>
    </w:p>
    <w:p>
      <w:pPr>
        <w:spacing w:after="0" w:line="206" w:lineRule="exact"/>
        <w:rPr>
          <w:rFonts w:ascii="Times New Roman" w:cs="Times New Roman" w:eastAsia="Times New Roman" w:hAnsi="Times New Roman"/>
          <w:sz w:val="22"/>
          <w:szCs w:val="22"/>
          <w:color w:val="auto"/>
        </w:rPr>
      </w:pPr>
    </w:p>
    <w:p>
      <w:pPr>
        <w:ind w:right="20" w:firstLine="1505"/>
        <w:spacing w:after="0" w:line="264" w:lineRule="auto"/>
        <w:tabs>
          <w:tab w:leader="none" w:pos="203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has the meaning ascribed to such term in Treasury Regulation section 1.409A-l(h) and generally means termination of employment from the Company and its Subsidiaries.</w:t>
      </w:r>
    </w:p>
    <w:p>
      <w:pPr>
        <w:spacing w:after="0" w:line="145" w:lineRule="exact"/>
        <w:rPr>
          <w:rFonts w:ascii="Times New Roman" w:cs="Times New Roman" w:eastAsia="Times New Roman" w:hAnsi="Times New Roman"/>
          <w:sz w:val="22"/>
          <w:szCs w:val="22"/>
          <w:color w:val="auto"/>
        </w:rPr>
      </w:pPr>
    </w:p>
    <w:p>
      <w:pPr>
        <w:ind w:right="680" w:firstLine="1505"/>
        <w:spacing w:after="0" w:line="264" w:lineRule="auto"/>
        <w:tabs>
          <w:tab w:leader="none" w:pos="203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Awards</w:t>
      </w:r>
      <w:r>
        <w:rPr>
          <w:rFonts w:ascii="Times New Roman" w:cs="Times New Roman" w:eastAsia="Times New Roman" w:hAnsi="Times New Roman"/>
          <w:sz w:val="22"/>
          <w:szCs w:val="22"/>
          <w:color w:val="auto"/>
        </w:rPr>
        <w:t>” means all stock options, restricted stock units and such other equity-based awards granted pursuant to the Company’s equity award plans or agreements.</w:t>
      </w:r>
    </w:p>
    <w:p>
      <w:pPr>
        <w:spacing w:after="0" w:line="145" w:lineRule="exact"/>
        <w:rPr>
          <w:rFonts w:ascii="Times New Roman" w:cs="Times New Roman" w:eastAsia="Times New Roman" w:hAnsi="Times New Roman"/>
          <w:sz w:val="22"/>
          <w:szCs w:val="22"/>
          <w:color w:val="auto"/>
        </w:rPr>
      </w:pPr>
    </w:p>
    <w:p>
      <w:pPr>
        <w:jc w:val="both"/>
        <w:ind w:right="20" w:firstLine="1505"/>
        <w:spacing w:after="0" w:line="241" w:lineRule="auto"/>
        <w:tabs>
          <w:tab w:leader="none" w:pos="203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any corporation, partnership, joint venture, limited liability company, or other entity (other than the Company) in an unbroken chain of entities beginning with the Company if each of the entities other than the last entity in the unbroken chain owns directly or indirectly more than 50% of the total combined voting power of another corporation or other entity in such chain.</w:t>
      </w:r>
    </w:p>
    <w:p>
      <w:pPr>
        <w:spacing w:after="0" w:line="172" w:lineRule="exact"/>
        <w:rPr>
          <w:sz w:val="20"/>
          <w:szCs w:val="20"/>
          <w:color w:val="auto"/>
        </w:rPr>
      </w:pPr>
    </w:p>
    <w:p>
      <w:pPr>
        <w:ind w:left="2040" w:hanging="535"/>
        <w:spacing w:after="0"/>
        <w:tabs>
          <w:tab w:leader="none" w:pos="20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 has the meaning ascribed to such term in Section 2(a).</w:t>
      </w:r>
    </w:p>
    <w:p>
      <w:pPr>
        <w:spacing w:after="0" w:line="21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p>
    <w:p>
      <w:pPr>
        <w:spacing w:after="0" w:line="200" w:lineRule="exact"/>
        <w:rPr>
          <w:rFonts w:ascii="Times New Roman" w:cs="Times New Roman" w:eastAsia="Times New Roman" w:hAnsi="Times New Roman"/>
          <w:sz w:val="22"/>
          <w:szCs w:val="22"/>
          <w:color w:val="auto"/>
        </w:rPr>
      </w:pPr>
    </w:p>
    <w:p>
      <w:pPr>
        <w:ind w:firstLine="1505"/>
        <w:spacing w:after="0" w:line="237" w:lineRule="auto"/>
        <w:tabs>
          <w:tab w:leader="none" w:pos="203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this Agreement (the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 shall continue until the third anniversary of the Effective Date (if not first terminated by the Board), except to the extent the Term is automatically extended pursuant to Section 2(b). Thereafter, this Agreement shall automatically renew for successive one-year periods unless the Board gives written notice prior to the expiration of the then-effective Term of the Company’s intention not to renew. Notwithstanding the foregoing, the Term shall expire on the date on which all payments or benefits required to be made or provided hereunder have been made or provided in their entirety, except to the extent the Term is automatically extended pursuant to Section 2(b).</w:t>
      </w:r>
    </w:p>
    <w:p>
      <w:pPr>
        <w:spacing w:after="0" w:line="181" w:lineRule="exact"/>
        <w:rPr>
          <w:rFonts w:ascii="Times New Roman" w:cs="Times New Roman" w:eastAsia="Times New Roman" w:hAnsi="Times New Roman"/>
          <w:sz w:val="22"/>
          <w:szCs w:val="22"/>
          <w:color w:val="auto"/>
        </w:rPr>
      </w:pPr>
    </w:p>
    <w:p>
      <w:pPr>
        <w:ind w:right="100" w:firstLine="1505"/>
        <w:spacing w:after="0" w:line="248" w:lineRule="auto"/>
        <w:tabs>
          <w:tab w:leader="none" w:pos="2036"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provisions of Section 2(a), the then-effective Term shall automatically be extended in the event that the Term would otherwise expire during the period commencing upon the first public announcement of a definitive agreement that would result in a Change in Control (even though still subject to approval of the Company’s stockholders and other conditions and contingencies) and ending on the date that is twelve (12) months following the occurrence of such Change in Control. Such extension shall be upon the terms and conditions of this Agreement as then in effect, provided that such extension of the Term shall expire upon the first to occur of the first public announcement of the termination of such definitive agreement or the date that is twelve (12) months following the occurrence of such Change in Control.</w:t>
      </w:r>
    </w:p>
    <w:p>
      <w:pPr>
        <w:spacing w:after="0" w:line="170" w:lineRule="exact"/>
        <w:rPr>
          <w:rFonts w:ascii="Times New Roman" w:cs="Times New Roman" w:eastAsia="Times New Roman" w:hAnsi="Times New Roman"/>
          <w:sz w:val="21"/>
          <w:szCs w:val="21"/>
          <w:color w:val="auto"/>
        </w:rPr>
      </w:pPr>
    </w:p>
    <w:p>
      <w:pPr>
        <w:ind w:right="20" w:firstLine="1505"/>
        <w:spacing w:after="0" w:line="239" w:lineRule="auto"/>
        <w:tabs>
          <w:tab w:leader="none" w:pos="203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Sections 2(a) and (b), the obligation of the Company to make payments or provide benefits pursuant to this Agreement to which Executive has acquired a right in accordance with the applicable provisions of this Agreement prior to the expiration of the Term shall survive the termination of this Agreement until such payments and benefits have been provided in full.</w:t>
      </w:r>
    </w:p>
    <w:p>
      <w:pPr>
        <w:spacing w:after="0" w:line="180"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1505"/>
        <w:spacing w:after="0" w:line="239" w:lineRule="auto"/>
        <w:tabs>
          <w:tab w:leader="none" w:pos="203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Qualifying Termination Not in Connection with a Change in Control</w:t>
      </w:r>
      <w:r>
        <w:rPr>
          <w:rFonts w:ascii="Times New Roman" w:cs="Times New Roman" w:eastAsia="Times New Roman" w:hAnsi="Times New Roman"/>
          <w:sz w:val="22"/>
          <w:szCs w:val="22"/>
          <w:color w:val="auto"/>
        </w:rPr>
        <w:t>. If Executive experiences a Qualifying Termination more than three (3) months prior to a Change in Control or more than twelve (12) months following a Change in Control, Executive shall be entitled to receive the payments and benefits provided below, which, with respect to clause (ii), will be payable in a lump sum on the day that is sixty (60) days following the Date of Termination:</w:t>
      </w:r>
    </w:p>
    <w:p>
      <w:pPr>
        <w:spacing w:after="0" w:line="180" w:lineRule="exact"/>
        <w:rPr>
          <w:sz w:val="20"/>
          <w:szCs w:val="20"/>
          <w:color w:val="auto"/>
        </w:rPr>
      </w:pPr>
    </w:p>
    <w:p>
      <w:pPr>
        <w:ind w:right="160" w:firstLine="2246"/>
        <w:spacing w:after="0" w:line="244" w:lineRule="auto"/>
        <w:rPr>
          <w:sz w:val="20"/>
          <w:szCs w:val="20"/>
          <w:color w:val="auto"/>
        </w:rPr>
      </w:pPr>
      <w:r>
        <w:rPr>
          <w:rFonts w:ascii="Times New Roman" w:cs="Times New Roman" w:eastAsia="Times New Roman" w:hAnsi="Times New Roman"/>
          <w:sz w:val="22"/>
          <w:szCs w:val="22"/>
          <w:color w:val="auto"/>
        </w:rPr>
        <w:t>3.1.1.1.The Company shall pay to Executive Executive’s fully earned but unpaid Base Salary, when due, through the Date of Termination at the rate then in effect, reimbursement of business expenses incurred prior to the Date of Termination and properly submitted in accordance with Company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68" w:name="page69"/>
    <w:bookmarkEnd w:id="68"/>
    <w:p>
      <w:pPr>
        <w:ind w:right="60"/>
        <w:spacing w:after="0" w:line="239" w:lineRule="auto"/>
        <w:rPr>
          <w:sz w:val="20"/>
          <w:szCs w:val="20"/>
          <w:color w:val="auto"/>
        </w:rPr>
      </w:pPr>
      <w:r>
        <w:rPr>
          <w:rFonts w:ascii="Times New Roman" w:cs="Times New Roman" w:eastAsia="Times New Roman" w:hAnsi="Times New Roman"/>
          <w:sz w:val="22"/>
          <w:szCs w:val="22"/>
          <w:color w:val="auto"/>
        </w:rPr>
        <w:t>plus all other benefits, if any, under any Company group retirement plan, nonqualified deferred compensation plan, equity award plan or agreement (other than any such plan or agreement pertaining to Stock Awards whose treatment is prescribed by Section 3(a)(iv) below), health benefits plan or other Company group benefit plan to which Executive may be entitled pursuant to the terms of such plans or agreements as of the Date of Termination (the “</w:t>
      </w:r>
      <w:r>
        <w:rPr>
          <w:rFonts w:ascii="Times New Roman" w:cs="Times New Roman" w:eastAsia="Times New Roman" w:hAnsi="Times New Roman"/>
          <w:sz w:val="22"/>
          <w:szCs w:val="22"/>
          <w:b w:val="1"/>
          <w:bCs w:val="1"/>
          <w:i w:val="1"/>
          <w:iCs w:val="1"/>
          <w:color w:val="auto"/>
        </w:rPr>
        <w:t>Accrued Obligations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right="120" w:firstLine="2246"/>
        <w:spacing w:after="0" w:line="251" w:lineRule="auto"/>
        <w:rPr>
          <w:sz w:val="20"/>
          <w:szCs w:val="20"/>
          <w:color w:val="auto"/>
        </w:rPr>
      </w:pPr>
      <w:r>
        <w:rPr>
          <w:rFonts w:ascii="Times New Roman" w:cs="Times New Roman" w:eastAsia="Times New Roman" w:hAnsi="Times New Roman"/>
          <w:sz w:val="21"/>
          <w:szCs w:val="21"/>
          <w:color w:val="auto"/>
        </w:rPr>
        <w:t>3.1.1.2.Subject to Section 3(d) and Executive’s continued compliance with Section 7, Executive shall be entitled to receive severance pay in an amount equal to one hundred and fifty percent (150%) multiplied by the sum of (x) Executive’s annual Base Salary as in effect immediately prior to the Date of Termination, plus (y) Executive’s annual bonus for the fiscal year in which the Date of Termination occurs (based on target achievement of performance metrics) prorated based on the number of days that have elapsed as of the Date of Termination for the fiscal year in which the Date of Termination occurs;</w:t>
      </w:r>
    </w:p>
    <w:p>
      <w:pPr>
        <w:spacing w:after="0" w:line="168" w:lineRule="exact"/>
        <w:rPr>
          <w:sz w:val="20"/>
          <w:szCs w:val="20"/>
          <w:color w:val="auto"/>
        </w:rPr>
      </w:pPr>
    </w:p>
    <w:p>
      <w:pPr>
        <w:ind w:firstLine="2246"/>
        <w:spacing w:after="0" w:line="233" w:lineRule="auto"/>
        <w:rPr>
          <w:sz w:val="20"/>
          <w:szCs w:val="20"/>
          <w:color w:val="auto"/>
        </w:rPr>
      </w:pPr>
      <w:r>
        <w:rPr>
          <w:rFonts w:ascii="Times New Roman" w:cs="Times New Roman" w:eastAsia="Times New Roman" w:hAnsi="Times New Roman"/>
          <w:sz w:val="22"/>
          <w:szCs w:val="22"/>
          <w:color w:val="auto"/>
        </w:rPr>
        <w:t>3.1.1.3.Subject to Section 3(d) and Executive’s continued compliance with Section 7, for the period beginning on the Date of Termination and ending on the date which is eighteen (18) full months following the Date of Termination (or, if earlier, the date on which the applicable continuation period under COBRA expires) (the “</w:t>
      </w:r>
      <w:r>
        <w:rPr>
          <w:rFonts w:ascii="Times New Roman" w:cs="Times New Roman" w:eastAsia="Times New Roman" w:hAnsi="Times New Roman"/>
          <w:sz w:val="22"/>
          <w:szCs w:val="22"/>
          <w:b w:val="1"/>
          <w:bCs w:val="1"/>
          <w:i w:val="1"/>
          <w:iCs w:val="1"/>
          <w:color w:val="auto"/>
        </w:rPr>
        <w:t>COBRA Coverage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Period</w:t>
      </w:r>
      <w:r>
        <w:rPr>
          <w:rFonts w:ascii="Times New Roman" w:cs="Times New Roman" w:eastAsia="Times New Roman" w:hAnsi="Times New Roman"/>
          <w:sz w:val="22"/>
          <w:szCs w:val="22"/>
          <w:color w:val="auto"/>
        </w:rPr>
        <w:t>”), the Company shall continue to provide Executive and Executive’s eligible dependents who were covered under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Company’s health insurance plans as of the Date of Termination with health (including medical and dental) insurance benefits substantially similar to those provided to Executive and Executive’s dependents immediately prior to the Date of Termination. If any of the Company’s health benefits are self-funded as of the Date of Termination, or if the Company cannot provide the foregoing benefits in a manner that is exempt from or otherwise compliant with applicable law or the provision of such benefits may result in the Company incurring penalties under applicable law (including, without limitation, Section 409A of the Code and Section 2716 of the Public Health Service Act), instead of providing continued health insurance benefits as set forth above, the Company shall instead pay to Executive an amount equal to the monthly premium payment for Executive and Executive’s eligible dependents who were covered under the Company’s health plans as of the Date of Termination (calculated by reference to the premium as of the Date of Termination) as currently taxable compensation in substantially equal monthly installments over the COBRA Coverage Period (or the remaining portion thereof);</w:t>
      </w:r>
    </w:p>
    <w:p>
      <w:pPr>
        <w:spacing w:after="0" w:line="180" w:lineRule="exact"/>
        <w:rPr>
          <w:sz w:val="20"/>
          <w:szCs w:val="20"/>
          <w:color w:val="auto"/>
        </w:rPr>
      </w:pPr>
    </w:p>
    <w:p>
      <w:pPr>
        <w:ind w:firstLine="2246"/>
        <w:spacing w:after="0" w:line="232" w:lineRule="auto"/>
        <w:rPr>
          <w:sz w:val="20"/>
          <w:szCs w:val="20"/>
          <w:color w:val="auto"/>
        </w:rPr>
      </w:pPr>
      <w:r>
        <w:rPr>
          <w:rFonts w:ascii="Times New Roman" w:cs="Times New Roman" w:eastAsia="Times New Roman" w:hAnsi="Times New Roman"/>
          <w:sz w:val="22"/>
          <w:szCs w:val="22"/>
          <w:color w:val="auto"/>
        </w:rPr>
        <w:t>3.1.1.4.Subject to Section 3(d) and Executive’s continued compliance with Section 7, each of Executive’s outstanding Stock Awards scheduled to vest within twelve (12)months following the Date of Termination (or for any performance-based Stock Awards, (x) those with a multi-year performance period that ends during such period or (y) to the extent any such Stock Award contains performance goals measured against fiscal year performance within a multi-year performance period, those with any such fiscal year(s) that have been completed on or prior to the Date of Termination) shall be accelerated and shall vest and become exercisable, as applicable, effective as of the Date of Termination; provided that any performance-based Stock Awards described above will, except to the extent alternative acceleration is specifically provided for pursuant to the grant documents, vest as to (A) actual performance achievement, with respect to any performance goals measured against fiscal year performance within an applicable multi-year performance period to the extent any such fiscal year(s) have previously been completed on or prior to the Date of Termination, and (B) the greater of target performance achievement and actual performance achievement (to the extent determinable as of the Date of Termination, as determined in the sole discretion of the Company), with respect to any other performance goals; provided, further, that payment or settlement of such Stock Awards may be delayed as provided in the grant documents to the extent required by Section 409A of the Code. Nothing in this Section 3(a)(iv) shall be construed to limit any more favorable vesting applicable to Executive’s Stock Awards in the Company’s equity plan(s) and/or the stock award agreements under which the Stock Awards were granted. The foregoing provisions are hereby deemed to be a part of each Stock Award and to supersede any less favorable provision in any agreement or plan regarding such Stock Award; and</w:t>
      </w:r>
    </w:p>
    <w:p>
      <w:pPr>
        <w:spacing w:after="0" w:line="190" w:lineRule="exact"/>
        <w:rPr>
          <w:sz w:val="20"/>
          <w:szCs w:val="20"/>
          <w:color w:val="auto"/>
        </w:rPr>
      </w:pPr>
    </w:p>
    <w:p>
      <w:pPr>
        <w:ind w:right="140" w:firstLine="2246"/>
        <w:spacing w:after="0" w:line="258" w:lineRule="auto"/>
        <w:rPr>
          <w:sz w:val="20"/>
          <w:szCs w:val="20"/>
          <w:color w:val="auto"/>
        </w:rPr>
      </w:pPr>
      <w:r>
        <w:rPr>
          <w:rFonts w:ascii="Times New Roman" w:cs="Times New Roman" w:eastAsia="Times New Roman" w:hAnsi="Times New Roman"/>
          <w:sz w:val="22"/>
          <w:szCs w:val="22"/>
          <w:color w:val="auto"/>
        </w:rPr>
        <w:t>3.1.1.5.Notwithstanding any other provision of this Agreement to the contrary, any severance benefits payable to Executive under this Section 3(a) shall be reduced by any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0" w:right="379" w:bottom="1440" w:gutter="0" w:footer="0" w:header="0"/>
        </w:sectPr>
      </w:pPr>
    </w:p>
    <w:bookmarkStart w:id="69" w:name="page70"/>
    <w:bookmarkEnd w:id="69"/>
    <w:p>
      <w:pPr>
        <w:ind w:right="620"/>
        <w:spacing w:after="0" w:line="258" w:lineRule="auto"/>
        <w:rPr>
          <w:sz w:val="20"/>
          <w:szCs w:val="20"/>
          <w:color w:val="auto"/>
        </w:rPr>
      </w:pPr>
      <w:r>
        <w:rPr>
          <w:rFonts w:ascii="Times New Roman" w:cs="Times New Roman" w:eastAsia="Times New Roman" w:hAnsi="Times New Roman"/>
          <w:sz w:val="22"/>
          <w:szCs w:val="22"/>
          <w:color w:val="auto"/>
        </w:rPr>
        <w:t>payable by the Company or an Affiliate of the Company to Executive under any other policy, plan, program, agreement or arrangement, including, without limitation, any severance agreement between Executive and any entity.</w:t>
      </w:r>
    </w:p>
    <w:p>
      <w:pPr>
        <w:spacing w:after="0" w:line="158" w:lineRule="exact"/>
        <w:rPr>
          <w:sz w:val="20"/>
          <w:szCs w:val="20"/>
          <w:color w:val="auto"/>
        </w:rPr>
      </w:pPr>
    </w:p>
    <w:p>
      <w:pPr>
        <w:jc w:val="both"/>
        <w:ind w:right="220" w:firstLine="1505"/>
        <w:spacing w:after="0" w:line="239" w:lineRule="auto"/>
        <w:tabs>
          <w:tab w:leader="none" w:pos="203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Qualifying Termination in Connection with a Change in Control</w:t>
      </w:r>
      <w:r>
        <w:rPr>
          <w:rFonts w:ascii="Times New Roman" w:cs="Times New Roman" w:eastAsia="Times New Roman" w:hAnsi="Times New Roman"/>
          <w:sz w:val="22"/>
          <w:szCs w:val="22"/>
          <w:color w:val="auto"/>
        </w:rPr>
        <w:t>. If Executive experiences a Qualifying Termination within three (3) months prior to a Change in Control or within twelve (12) months following a Change in Control, Executive shall be entitled to receive the benefits provided below, which, with respect to clause (ii), will be payable in a lump sum on the day that is sixty (60) days following the Date of Termination:</w:t>
      </w:r>
    </w:p>
    <w:p>
      <w:pPr>
        <w:spacing w:after="0" w:line="1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3.1.2.1.The Company shall pay to Executive the Accrued Obligations;</w:t>
      </w:r>
    </w:p>
    <w:p>
      <w:pPr>
        <w:spacing w:after="0" w:line="206" w:lineRule="exact"/>
        <w:rPr>
          <w:sz w:val="20"/>
          <w:szCs w:val="20"/>
          <w:color w:val="auto"/>
        </w:rPr>
      </w:pPr>
    </w:p>
    <w:p>
      <w:pPr>
        <w:ind w:right="120" w:firstLine="2246"/>
        <w:spacing w:after="0" w:line="239" w:lineRule="auto"/>
        <w:rPr>
          <w:sz w:val="20"/>
          <w:szCs w:val="20"/>
          <w:color w:val="auto"/>
        </w:rPr>
      </w:pPr>
      <w:r>
        <w:rPr>
          <w:rFonts w:ascii="Times New Roman" w:cs="Times New Roman" w:eastAsia="Times New Roman" w:hAnsi="Times New Roman"/>
          <w:sz w:val="22"/>
          <w:szCs w:val="22"/>
          <w:color w:val="auto"/>
        </w:rPr>
        <w:t>3.1.2.2.Subject to Section 3(d) and Executive’s continued compliance with Section 7, Executive shall be entitled to receive severance pay in an amount equal to two hundred percent (200%) multiplied by the sum of (x) Executive’s annual Base Salary as in effect immediately prior to the Date of Termination, plus (y) Executive’s annual bonus for the fiscal year in which the Date of Termination occurs (based on target achievement of performance metrics);</w:t>
      </w:r>
    </w:p>
    <w:p>
      <w:pPr>
        <w:spacing w:after="0" w:line="180" w:lineRule="exact"/>
        <w:rPr>
          <w:sz w:val="20"/>
          <w:szCs w:val="20"/>
          <w:color w:val="auto"/>
        </w:rPr>
      </w:pPr>
    </w:p>
    <w:p>
      <w:pPr>
        <w:ind w:firstLine="2246"/>
        <w:spacing w:after="0" w:line="233" w:lineRule="auto"/>
        <w:rPr>
          <w:sz w:val="20"/>
          <w:szCs w:val="20"/>
          <w:color w:val="auto"/>
        </w:rPr>
      </w:pPr>
      <w:r>
        <w:rPr>
          <w:rFonts w:ascii="Times New Roman" w:cs="Times New Roman" w:eastAsia="Times New Roman" w:hAnsi="Times New Roman"/>
          <w:sz w:val="22"/>
          <w:szCs w:val="22"/>
          <w:color w:val="auto"/>
        </w:rPr>
        <w:t>3.1.2.3.Subject to Section 3(d) and Executive’s continued compliance with Section 7, for the period beginning on the Date of Termination and ending on the date which is twenty-four (24) full months following the Date of Termination (or, if earlier, the date on which the applicable continuation period under COBRA expires) (the “</w:t>
      </w:r>
      <w:r>
        <w:rPr>
          <w:rFonts w:ascii="Times New Roman" w:cs="Times New Roman" w:eastAsia="Times New Roman" w:hAnsi="Times New Roman"/>
          <w:sz w:val="22"/>
          <w:szCs w:val="22"/>
          <w:b w:val="1"/>
          <w:bCs w:val="1"/>
          <w:i w:val="1"/>
          <w:iCs w:val="1"/>
          <w:color w:val="auto"/>
        </w:rPr>
        <w:t>COBRA CIC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Coverage Period</w:t>
      </w:r>
      <w:r>
        <w:rPr>
          <w:rFonts w:ascii="Times New Roman" w:cs="Times New Roman" w:eastAsia="Times New Roman" w:hAnsi="Times New Roman"/>
          <w:sz w:val="22"/>
          <w:szCs w:val="22"/>
          <w:color w:val="auto"/>
        </w:rPr>
        <w:t>”), the Company shall continue to provide Executive and Executive’s eligible dependents who were covered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under the Company’s health insurance plans as of the Date of Termination with health (including medical and dental) insurance benefits substantially similar to those provided to Executive and Executive’s dependents immediately prior to the Date of Termination. If any of the Company’s health benefits are self-funded as of the Date of Termination, or if the Company cannot provide the foregoing benefits in a manner that is exempt from or otherwise compliant with applicable law or the provision of such benefits may result in the Company incurring penalties under applicable law (including, without limitation, Section 409A of the Code and Section 2716 of the Public Health Service Act), instead of providing continued health insurance benefits as set forth above, the Company shall instead pay to Executive an amount equal to the monthly premium payment for Executive and Executive’s eligible dependents who were covered under the Company’s health plans as of the Date of Termination (calculated by reference to the premium as of the Date of Termination) as currently taxable compensation in substantially equal monthly installments over the COBRA CIC Coverage Period (or the remaining portion thereof);</w:t>
      </w:r>
    </w:p>
    <w:p>
      <w:pPr>
        <w:spacing w:after="0" w:line="180" w:lineRule="exact"/>
        <w:rPr>
          <w:sz w:val="20"/>
          <w:szCs w:val="20"/>
          <w:color w:val="auto"/>
        </w:rPr>
      </w:pPr>
    </w:p>
    <w:p>
      <w:pPr>
        <w:ind w:firstLine="2246"/>
        <w:spacing w:after="0" w:line="244" w:lineRule="auto"/>
        <w:rPr>
          <w:sz w:val="20"/>
          <w:szCs w:val="20"/>
          <w:color w:val="auto"/>
        </w:rPr>
      </w:pPr>
      <w:r>
        <w:rPr>
          <w:rFonts w:ascii="Times New Roman" w:cs="Times New Roman" w:eastAsia="Times New Roman" w:hAnsi="Times New Roman"/>
          <w:sz w:val="21"/>
          <w:szCs w:val="21"/>
          <w:color w:val="auto"/>
        </w:rPr>
        <w:t xml:space="preserve">3.1.2.4.Subject to Section 3(d) and Executive’s continued compliance with Section 7, each of Executive’s outstanding Stock Awards shall be accelerated in full and shall vest and become exercisable, as applicable, effective as of the later of (A) the Date of Termination or (B) the date of the Change in Control;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performance-based Stock Awards will, except to the extent alternative acceleration is specifically provided for pursuant to the grant documents, vest as to (1) actual performance achievement, with respect to any performance goals measured against fiscal year performance within an applicable multi-year performance period to the extent any such fiscal year(s) have previously been completed on or prior to the date of the Change in Control and (2) the greater of target performance achievement and actual performance achievement (to the extent determinable as of the date of the Change in Control, as determined in the sole discretion of the Company), with respect to any other performance goals;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payment or settlement of such Stock Awards may be delayed as provided in the grant documents to the extent required by Section 409A of the Code. Nothing in this Section 3(b)(iv) shall be construed to limit any more favorable vesting applicable to Executive’s Stock Awards in the Company’s equity plan(s) and/or the stock award agreements under which the Stock Awards were granted. The foregoing provisions are hereby deemed to be a part of each Stock Award and to supersede any less favorable provision in any agreement or plan regarding such Stock Award;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70" w:name="page71"/>
    <w:bookmarkEnd w:id="70"/>
    <w:p>
      <w:pPr>
        <w:ind w:right="160" w:firstLine="2246"/>
        <w:spacing w:after="0" w:line="239" w:lineRule="auto"/>
        <w:rPr>
          <w:sz w:val="20"/>
          <w:szCs w:val="20"/>
          <w:color w:val="auto"/>
        </w:rPr>
      </w:pPr>
      <w:r>
        <w:rPr>
          <w:rFonts w:ascii="Times New Roman" w:cs="Times New Roman" w:eastAsia="Times New Roman" w:hAnsi="Times New Roman"/>
          <w:sz w:val="22"/>
          <w:szCs w:val="22"/>
          <w:color w:val="auto"/>
        </w:rPr>
        <w:t>3.1.2.5.Notwithstanding any other provision of this Agreement to the contrary, any severance benefits payable to Executive under this Section 3(b) shall be reduced by any severance benefits payable by the Company or an Affiliate of the Company to Executive under any other policy, plan, program, agreement or arrangement, including, without limitation, any severance agreement between Executive and any entity.</w:t>
      </w:r>
    </w:p>
    <w:p>
      <w:pPr>
        <w:spacing w:after="0" w:line="180" w:lineRule="exact"/>
        <w:rPr>
          <w:sz w:val="20"/>
          <w:szCs w:val="20"/>
          <w:color w:val="auto"/>
        </w:rPr>
      </w:pPr>
    </w:p>
    <w:p>
      <w:pPr>
        <w:ind w:firstLine="1505"/>
        <w:spacing w:after="0" w:line="238" w:lineRule="auto"/>
        <w:tabs>
          <w:tab w:leader="none" w:pos="20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If Executive’s employment is terminated by the Company for Cause, by Executive without Good Reason, or as a result of Executive’s death or Permanent Disability, the Company shall not have any other or further obligations to Executive under this Agreement (including any financial obligations) except that Executive shall be entitled to receive the Accrued Obligations. The foregoing shall be in addition to, and not in lieu of, any and all other rights and remedies which may be available to the Company under the circumstances, whether at law or in equity.</w:t>
      </w:r>
    </w:p>
    <w:p>
      <w:pPr>
        <w:spacing w:after="0" w:line="176" w:lineRule="exact"/>
        <w:rPr>
          <w:rFonts w:ascii="Times New Roman" w:cs="Times New Roman" w:eastAsia="Times New Roman" w:hAnsi="Times New Roman"/>
          <w:sz w:val="22"/>
          <w:szCs w:val="22"/>
          <w:color w:val="auto"/>
        </w:rPr>
      </w:pPr>
    </w:p>
    <w:p>
      <w:pPr>
        <w:ind w:right="20" w:firstLine="1505"/>
        <w:spacing w:after="0" w:line="238" w:lineRule="auto"/>
        <w:tabs>
          <w:tab w:leader="none" w:pos="20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As a condition to Executive’s receipt of any post-termination benefits pursuant to Section 3(a) or Section 3(b) above (other than the Accrued Obligations), Executive shall execute and not revoke a general release of all claims in favor of the Company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xml:space="preserve">”) in the form substantially similar to that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(and any applicable revocation period applicable to such Release shall have expired) within the sixty (60) day period following the Date of Termination.</w:t>
      </w:r>
    </w:p>
    <w:p>
      <w:pPr>
        <w:spacing w:after="0" w:line="176" w:lineRule="exact"/>
        <w:rPr>
          <w:rFonts w:ascii="Times New Roman" w:cs="Times New Roman" w:eastAsia="Times New Roman" w:hAnsi="Times New Roman"/>
          <w:sz w:val="22"/>
          <w:szCs w:val="22"/>
          <w:color w:val="auto"/>
        </w:rPr>
      </w:pPr>
    </w:p>
    <w:p>
      <w:pPr>
        <w:ind w:right="160" w:firstLine="1505"/>
        <w:spacing w:after="0" w:line="236" w:lineRule="auto"/>
        <w:tabs>
          <w:tab w:leader="none" w:pos="20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Except as otherwise expressly required by law (e.g., COBRA) or as specifically provided herein, all of Executive’s rights to salary, severance, benefits, bonuses and other amounts hereunder (if any) accruing after the termination of Executive’s employment shall cease upon such termination. In the event of a termination of Executive’s employment with the Company, and except in the event of violation of applicable law by the Company relating to Executive’s employment or the termination thereof, Executive’s sole remedy shall be to receive the payments and benefits described in this Section 3.</w:t>
      </w:r>
    </w:p>
    <w:p>
      <w:pPr>
        <w:spacing w:after="0" w:line="181" w:lineRule="exact"/>
        <w:rPr>
          <w:rFonts w:ascii="Times New Roman" w:cs="Times New Roman" w:eastAsia="Times New Roman" w:hAnsi="Times New Roman"/>
          <w:sz w:val="22"/>
          <w:szCs w:val="22"/>
          <w:color w:val="auto"/>
        </w:rPr>
      </w:pPr>
    </w:p>
    <w:p>
      <w:pPr>
        <w:ind w:right="40" w:firstLine="1505"/>
        <w:spacing w:after="0" w:line="238" w:lineRule="auto"/>
        <w:tabs>
          <w:tab w:leader="none" w:pos="20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xml:space="preserve">. Executive shall not be required to mitigate the amount of any payment provided for in this Section 3 by seeking other employment or otherwise, nor shall the amount of any payment or benefit provided for in this Section 3 be reduced by any compensation earned by Executive as the result of employment by another employer or self- employment or by retirement benefits;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loans, advances or other amounts owed by Executive to the Company may be offset by the Company and its Affiliates against amounts payable to Executive under this Section 3.</w:t>
      </w:r>
    </w:p>
    <w:p>
      <w:pPr>
        <w:spacing w:after="0" w:line="17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Best Pay Provision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2246"/>
        <w:spacing w:after="0" w:line="234" w:lineRule="auto"/>
        <w:rPr>
          <w:sz w:val="20"/>
          <w:szCs w:val="20"/>
          <w:color w:val="auto"/>
        </w:rPr>
      </w:pPr>
      <w:r>
        <w:rPr>
          <w:rFonts w:ascii="Times New Roman" w:cs="Times New Roman" w:eastAsia="Times New Roman" w:hAnsi="Times New Roman"/>
          <w:sz w:val="22"/>
          <w:szCs w:val="22"/>
          <w:color w:val="auto"/>
        </w:rPr>
        <w:t>3.1.7.1.If any payment or benefit Executive would receive under this Agreement, when combined with any other payment or benefit Executive receives pursuant to the termination of Executive’s employment with the Company and its Affiliates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such Payment shall be either (1) the full amount of such Payment or (2) such lesser amount (with cash payments being reduced before stock option compensation) as would result in no portion of the Payment being subject to the Excise Tax, whichever of the foregoing amounts, taking into account the applicable federal, state and local employment taxes, income taxes, and the Excise Tax, results in Executive’s receipt, on an after-tax basis, of the greater amount of the Payment notwithstanding that all or some portion of the Payment may be subject to the Excise Tax.</w:t>
      </w:r>
    </w:p>
    <w:p>
      <w:pPr>
        <w:spacing w:after="0" w:line="18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3.1.7.2.All determinations required to be made under this Section 3(g), including whether and to what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extent the Payments shall be reduced and the assumptions to be utilized in arriving at such determination, shall be made by any</w:t>
      </w:r>
    </w:p>
    <w:p>
      <w:pPr>
        <w:spacing w:after="0" w:line="230" w:lineRule="auto"/>
        <w:rPr>
          <w:sz w:val="20"/>
          <w:szCs w:val="20"/>
          <w:color w:val="auto"/>
        </w:rPr>
      </w:pPr>
      <w:r>
        <w:rPr>
          <w:rFonts w:ascii="Times New Roman" w:cs="Times New Roman" w:eastAsia="Times New Roman" w:hAnsi="Times New Roman"/>
          <w:sz w:val="22"/>
          <w:szCs w:val="22"/>
          <w:color w:val="auto"/>
        </w:rPr>
        <w:t>nationally recognized certified public accounting firm as may be designated by the Company, in its sole discretion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Accounting Firm</w:t>
      </w:r>
      <w:r>
        <w:rPr>
          <w:rFonts w:ascii="Times New Roman" w:cs="Times New Roman" w:eastAsia="Times New Roman" w:hAnsi="Times New Roman"/>
          <w:sz w:val="21"/>
          <w:szCs w:val="21"/>
          <w:color w:val="auto"/>
        </w:rPr>
        <w:t>”). The Accounting Firm shall provide detailed supporting calculations both to Executive and the Company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time as is requested by the Company. All fees and expenses of the Accounting Firm shall be borne solely by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determination by the Accounting Firm shall be binding upon Executive and the Company.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71" w:name="page72"/>
    <w:bookmarkEnd w:id="71"/>
    <w:p>
      <w:pPr>
        <w:ind w:right="120"/>
        <w:spacing w:after="0" w:line="244" w:lineRule="auto"/>
        <w:rPr>
          <w:sz w:val="20"/>
          <w:szCs w:val="20"/>
          <w:color w:val="auto"/>
        </w:rPr>
      </w:pPr>
      <w:r>
        <w:rPr>
          <w:rFonts w:ascii="Times New Roman" w:cs="Times New Roman" w:eastAsia="Times New Roman" w:hAnsi="Times New Roman"/>
          <w:sz w:val="22"/>
          <w:szCs w:val="22"/>
          <w:color w:val="auto"/>
        </w:rPr>
        <w:t>making the calculations required by this Section 3(g), the Accounting Firm may make reasonable assumptions and approximations concerning applicable taxes and may rely on reasonable, good-faith interpretations concerning the application of Sections 280G and 4999 of the Code.</w:t>
      </w:r>
    </w:p>
    <w:p>
      <w:pPr>
        <w:spacing w:after="0" w:line="173" w:lineRule="exact"/>
        <w:rPr>
          <w:sz w:val="20"/>
          <w:szCs w:val="20"/>
          <w:color w:val="auto"/>
        </w:rPr>
      </w:pPr>
    </w:p>
    <w:p>
      <w:pPr>
        <w:ind w:firstLine="757"/>
        <w:spacing w:after="0" w:line="235" w:lineRule="auto"/>
        <w:tabs>
          <w:tab w:leader="none" w:pos="101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the Company’s Property</w:t>
      </w:r>
      <w:r>
        <w:rPr>
          <w:rFonts w:ascii="Times New Roman" w:cs="Times New Roman" w:eastAsia="Times New Roman" w:hAnsi="Times New Roman"/>
          <w:sz w:val="22"/>
          <w:szCs w:val="22"/>
          <w:color w:val="auto"/>
        </w:rPr>
        <w:t>. If Executive’s employment is terminated for any reason, the Company shall have the right, at its option, to require Executive to vacate Executive’s offices prior to or on the effective date of termination and to cease all activities on the Company’s behalf. Upon the termination of Executive’s employment in any manner, as a condition to Executive’s receipt of any post- termination benefits described in this Agreement, Executive shall immediately surrender to the Company all lists, books and records of, or in connection with, the Company’s business, and all other property belonging to the Company and its Affiliates, it being distinctly understood that all such lists, books and records, and other documents, are the property of the Company and its Affiliates. Executive shall deliver to the Company a signed statement certifying compliance with this Section 4 prior to the receipt of any post-termination benefits described in this Agreement.</w:t>
      </w:r>
    </w:p>
    <w:p>
      <w:pPr>
        <w:spacing w:after="0" w:line="17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Arbitrate</w:t>
      </w:r>
      <w:r>
        <w:rPr>
          <w:rFonts w:ascii="Times New Roman" w:cs="Times New Roman" w:eastAsia="Times New Roman" w:hAnsi="Times New Roman"/>
          <w:sz w:val="22"/>
          <w:szCs w:val="22"/>
          <w:color w:val="auto"/>
        </w:rPr>
        <w:t>. Any dispute, claim or controversy based on, arising out</w:t>
      </w:r>
    </w:p>
    <w:p>
      <w:pPr>
        <w:spacing w:after="0" w:line="1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1"/>
          <w:szCs w:val="21"/>
          <w:color w:val="auto"/>
        </w:rPr>
        <w:t>of or relating to Executive’s employment or this Agreement shall be settled by final and binding arbitration in San Jose, California, before a single neutral arbitrator in accordance with the Employment Arbitration Rules and Procedures (the “</w:t>
      </w:r>
      <w:r>
        <w:rPr>
          <w:rFonts w:ascii="Times New Roman" w:cs="Times New Roman" w:eastAsia="Times New Roman" w:hAnsi="Times New Roman"/>
          <w:sz w:val="21"/>
          <w:szCs w:val="21"/>
          <w:b w:val="1"/>
          <w:bCs w:val="1"/>
          <w:i w:val="1"/>
          <w:iCs w:val="1"/>
          <w:color w:val="auto"/>
        </w:rPr>
        <w:t>Rules</w:t>
      </w:r>
      <w:r>
        <w:rPr>
          <w:rFonts w:ascii="Times New Roman" w:cs="Times New Roman" w:eastAsia="Times New Roman" w:hAnsi="Times New Roman"/>
          <w:sz w:val="21"/>
          <w:szCs w:val="21"/>
          <w:color w:val="auto"/>
        </w:rPr>
        <w:t>”) of Judicial Arbitration and Mediation Services (“</w:t>
      </w:r>
      <w:r>
        <w:rPr>
          <w:rFonts w:ascii="Times New Roman" w:cs="Times New Roman" w:eastAsia="Times New Roman" w:hAnsi="Times New Roman"/>
          <w:sz w:val="21"/>
          <w:szCs w:val="21"/>
          <w:b w:val="1"/>
          <w:bCs w:val="1"/>
          <w:i w:val="1"/>
          <w:iCs w:val="1"/>
          <w:color w:val="auto"/>
        </w:rPr>
        <w:t>JAMS</w:t>
      </w:r>
      <w:r>
        <w:rPr>
          <w:rFonts w:ascii="Times New Roman" w:cs="Times New Roman" w:eastAsia="Times New Roman" w:hAnsi="Times New Roman"/>
          <w:sz w:val="21"/>
          <w:szCs w:val="21"/>
          <w:color w:val="auto"/>
        </w:rPr>
        <w:t xml:space="preserve">”), and judgment on the award rendered by the arbitrator may be entered in any court having jurisdiction. The Rules may be found online at www.jamsadr.com. Arbitration may be compelled pursuant to the California Arbitration Act (Code of Civil Procedure §§ 1280 et seq.). If the parties are unable to agree upon an arbitrator, one shall be appointed by JAMS in accordance with its Rules. Each party shall pay the fees of its own attorneys, the expenses of its witnesses and all other expenses connected with presenting its case;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Executive and the Company agree that, to the extent permitted by law, the arbitrator may, in his or her discretion, award reasonable attorneys’ fees to the prevailing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the prevailing party shall be reimbursed for such fees, costs and expenses within forty-five (45) days following any such award, but in no event later than the last day of the Executive’s taxable year following the taxable year in which the fees, costs and expenses were incurred;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the parties’ obligations pursuant to this sentence shall terminate on the tenth (10th) anniversary of the date of Executive’s termination of employment;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Executive shall retain the right to file administrative charges with or seek relief through any government agency of competent jurisdiction, and to participate in any government investigation, including but not limited to (a) claims for workers’ compensation, state disability insurance or unemployment insurance; (b) claims for unpaid wages or waiting time penalties brought before the California Division of Labor Standards Enforcement;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appeal from an award or from denial of an award of wages and/or waiting time penalties shall be arbitrated pursuant to the terms of this Agreement; and</w:t>
      </w:r>
    </w:p>
    <w:p>
      <w:pPr>
        <w:spacing w:after="0" w:line="9" w:lineRule="exact"/>
        <w:rPr>
          <w:sz w:val="20"/>
          <w:szCs w:val="20"/>
          <w:color w:val="auto"/>
        </w:rPr>
      </w:pPr>
    </w:p>
    <w:p>
      <w:pPr>
        <w:ind w:right="160" w:firstLine="8"/>
        <w:spacing w:after="0" w:line="231" w:lineRule="auto"/>
        <w:tabs>
          <w:tab w:leader="none" w:pos="29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claims for administrative relief from the United States Equal Employment Opportunity Commission and/or the California Department of Fair Employment and Housing (or any similar agency in any applicable jurisdiction other than California);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Executive shall not be entitled to obtain any monetary relief through such agencies other than workers’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compensation benefits or unemployment insurance benefits. Other costs of the arbitration, including the cost of any record or transcripts of the arbitration, JAMS’ administrative fees, the fee of the arbitrator, and all other fees and costs, shall be borne by the Company. This Section 5 is intended to be the exclusive method for resolving any and all claims by the parties against each other for payment of damages under this Agreement or relating to Executive’s employment;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neither this Agreement nor the submission to arbitration shall limit the parties’ right to seek provisional relief, including without limitation injunctive relief, in any court of competent jurisdiction pursuant to California Code of Civil Procedure § 1281.8 or any similar statute of an applicable jurisdiction. Seeking any such relief shall not be deemed to be a waiver of such party’s right to compel arbitration. Both Executive and the Company expressly waive their right to a jury trial.</w:t>
      </w:r>
    </w:p>
    <w:p>
      <w:pPr>
        <w:spacing w:after="0" w:line="186" w:lineRule="exact"/>
        <w:rPr>
          <w:rFonts w:ascii="Times New Roman" w:cs="Times New Roman" w:eastAsia="Times New Roman" w:hAnsi="Times New Roman"/>
          <w:sz w:val="22"/>
          <w:szCs w:val="22"/>
          <w:color w:val="auto"/>
        </w:rPr>
      </w:pPr>
    </w:p>
    <w:p>
      <w:pPr>
        <w:ind w:right="300" w:firstLine="757"/>
        <w:spacing w:after="0" w:line="258" w:lineRule="auto"/>
        <w:tabs>
          <w:tab w:leader="none" w:pos="1018"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 Relationship</w:t>
      </w:r>
      <w:r>
        <w:rPr>
          <w:rFonts w:ascii="Times New Roman" w:cs="Times New Roman" w:eastAsia="Times New Roman" w:hAnsi="Times New Roman"/>
          <w:sz w:val="22"/>
          <w:szCs w:val="22"/>
          <w:color w:val="auto"/>
        </w:rPr>
        <w:t>. Executive’s employment with the Company is at-will and not for any specified period and may be terminated at any time, with or without Cause or advance notice, by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2" w:name="page73"/>
    <w:bookmarkEnd w:id="72"/>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Executive or the Company. Any change to the at-will employment relationship must be by specific, written agreement signed by Executive and an authorized representative of the Company. Nothing in this Agreement is intended to or should be construed to contradict, modify or alter this at-will relationship.</w:t>
      </w:r>
    </w:p>
    <w:p>
      <w:pPr>
        <w:spacing w:after="0" w:line="173" w:lineRule="exact"/>
        <w:rPr>
          <w:sz w:val="20"/>
          <w:szCs w:val="20"/>
          <w:color w:val="auto"/>
        </w:rPr>
      </w:pPr>
    </w:p>
    <w:p>
      <w:pPr>
        <w:ind w:firstLine="757"/>
        <w:spacing w:after="0" w:line="232"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and Proprietary Rights</w:t>
      </w:r>
      <w:r>
        <w:rPr>
          <w:rFonts w:ascii="Times New Roman" w:cs="Times New Roman" w:eastAsia="Times New Roman" w:hAnsi="Times New Roman"/>
          <w:sz w:val="22"/>
          <w:szCs w:val="22"/>
          <w:color w:val="auto"/>
        </w:rPr>
        <w:t>. The Company shall be entitled to cease all severance payments and benefits to Executive in the event of Executive’s material breach of either of the Confidentiality and Proprietary Information, Inventions and Ethics Agreements (defined below). Executive and the Company have executed the Company’s Confidentiality and Proprietary Information, Inventions and Ethics Agreements, copies of which are attached to this Agreement as Exhibit B and Exhibit C, respectively, and incorporated herein by reference (collectively, the “</w:t>
      </w:r>
      <w:r>
        <w:rPr>
          <w:rFonts w:ascii="Times New Roman" w:cs="Times New Roman" w:eastAsia="Times New Roman" w:hAnsi="Times New Roman"/>
          <w:sz w:val="22"/>
          <w:szCs w:val="22"/>
          <w:b w:val="1"/>
          <w:bCs w:val="1"/>
          <w:i w:val="1"/>
          <w:iCs w:val="1"/>
          <w:color w:val="auto"/>
        </w:rPr>
        <w:t>Confidentiality and Proprietary Rights Agreements</w:t>
      </w:r>
      <w:r>
        <w:rPr>
          <w:rFonts w:ascii="Times New Roman" w:cs="Times New Roman" w:eastAsia="Times New Roman" w:hAnsi="Times New Roman"/>
          <w:sz w:val="22"/>
          <w:szCs w:val="22"/>
          <w:color w:val="auto"/>
        </w:rPr>
        <w:t>”). Nothing in this Agreement or in the Confidentiality and Proprietary Rights Agreements shall be deemed to restrict Executive’s right to communicate directly with, cooperate with, provide information to, or report possible violations of federal law or regulation to, any governmental agency or entity in accordance with the provisions of and rules promulgated under Section 21F of the Exchange Act or Section 806 of the Sarbanes-Oxley Act of 2002, or any other whistleblower protection provisions of state or federal law or regulation, including, but not limited to, the U.S. Securities and Exchange Commission, the U.S. Commodity Futures Trading Commission, or the U.S. Department of Justice. Executive is hereby notified that the immunity provisions in Section 1833 of title 18 of the United States Code provide that an individual cannot be held criminally or civilly liable under any federal or state trade secret law for any disclosure of a trade secret that is made (i) in confidence to federal, state or local government officials, either directly or indirectly, or to an attorney, and is solely for the purpose of reporting or investigating a suspected violation of the law, (ii) under seal in a complaint or other document filed in a lawsuit or other proceeding, or (iii) to Executive’s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8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749"/>
        <w:spacing w:after="0" w:line="233" w:lineRule="auto"/>
        <w:rPr>
          <w:sz w:val="20"/>
          <w:szCs w:val="20"/>
          <w:color w:val="auto"/>
        </w:rPr>
      </w:pPr>
      <w:r>
        <w:rPr>
          <w:rFonts w:ascii="Times New Roman" w:cs="Times New Roman" w:eastAsia="Times New Roman" w:hAnsi="Times New Roman"/>
          <w:sz w:val="22"/>
          <w:szCs w:val="22"/>
          <w:color w:val="auto"/>
        </w:rPr>
        <w:t>8.1.</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The rights of the Company under this Agreement may, without the consent of Executive, be assigned by the Company, in its sole and unfettered discretion, to any person, firm, corporation or other business entity which at any time, whether by purchase, merger or otherwise, directly or indirectly, acquires all or substantially all of the assets or business of the Company. The Company will require any successor (whether direct or indirect, by purchase, merger or otherwise) to all or substantially all of the business or assets of the Company expressly to assume and to agree to perform this Agreement in the same manner and to the same extent that the Company would be required to perform it if no such succession had taken place;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no such assumption shall relieve the Company of its obligations hereunder;</w:t>
      </w:r>
      <w:r>
        <w:rPr>
          <w:rFonts w:ascii="Times New Roman" w:cs="Times New Roman" w:eastAsia="Times New Roman" w:hAnsi="Times New Roman"/>
          <w:sz w:val="22"/>
          <w:szCs w:val="22"/>
          <w:i w:val="1"/>
          <w:iCs w:val="1"/>
          <w:color w:val="auto"/>
        </w:rPr>
        <w:t xml:space="preserve"> 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failure of any such successor to so assume this Agreement shall constitute a material breach of this Agreement. Executive shall not sell, transfer, assign, pledge, or hypothecate any of Executive’s rights or obligations under this Agreement, as applicable. Executive shall not borrow against Executive’s interest in this Agreement. This Agreement shall inure to the benefit of and be enforceable by Executive’s personal or legal representatives, executors, administrators, successors, heirs, distributees, devisees and legatees.</w:t>
      </w:r>
    </w:p>
    <w:p>
      <w:pPr>
        <w:spacing w:after="0" w:line="185" w:lineRule="exact"/>
        <w:rPr>
          <w:sz w:val="20"/>
          <w:szCs w:val="20"/>
          <w:color w:val="auto"/>
        </w:rPr>
      </w:pPr>
    </w:p>
    <w:p>
      <w:pPr>
        <w:ind w:right="40" w:firstLine="749"/>
        <w:spacing w:after="0" w:line="251" w:lineRule="auto"/>
        <w:rPr>
          <w:sz w:val="20"/>
          <w:szCs w:val="20"/>
          <w:color w:val="auto"/>
        </w:rPr>
      </w:pPr>
      <w:r>
        <w:rPr>
          <w:rFonts w:ascii="Times New Roman" w:cs="Times New Roman" w:eastAsia="Times New Roman" w:hAnsi="Times New Roman"/>
          <w:sz w:val="21"/>
          <w:szCs w:val="21"/>
          <w:color w:val="auto"/>
        </w:rPr>
        <w:t>8.2.</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6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8.3.</w:t>
      </w:r>
      <w:r>
        <w:rPr>
          <w:rFonts w:ascii="Times New Roman" w:cs="Times New Roman" w:eastAsia="Times New Roman" w:hAnsi="Times New Roman"/>
          <w:sz w:val="22"/>
          <w:szCs w:val="22"/>
          <w:u w:val="single" w:color="auto"/>
          <w:color w:val="auto"/>
        </w:rPr>
        <w:t>Interpretation; Construction</w:t>
      </w:r>
      <w:r>
        <w:rPr>
          <w:rFonts w:ascii="Times New Roman" w:cs="Times New Roman" w:eastAsia="Times New Roman" w:hAnsi="Times New Roman"/>
          <w:sz w:val="22"/>
          <w:szCs w:val="22"/>
          <w:color w:val="auto"/>
        </w:rPr>
        <w:t>. The headings set forth in this Agreement are for convenience only and shall not be used in interpreting this Agreement. This Agreement has been drafted by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3" w:name="page74"/>
    <w:bookmarkEnd w:id="73"/>
    <w:p>
      <w:pPr>
        <w:ind w:right="40"/>
        <w:spacing w:after="0" w:line="235" w:lineRule="auto"/>
        <w:rPr>
          <w:sz w:val="20"/>
          <w:szCs w:val="20"/>
          <w:color w:val="auto"/>
        </w:rPr>
      </w:pPr>
      <w:r>
        <w:rPr>
          <w:rFonts w:ascii="Times New Roman" w:cs="Times New Roman" w:eastAsia="Times New Roman" w:hAnsi="Times New Roman"/>
          <w:sz w:val="22"/>
          <w:szCs w:val="22"/>
          <w:color w:val="auto"/>
        </w:rPr>
        <w:t>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 Either party’s failure to enforce any provision of this Agreement shall not in any way be</w:t>
      </w:r>
    </w:p>
    <w:p>
      <w:pPr>
        <w:spacing w:after="0" w:line="237" w:lineRule="auto"/>
        <w:rPr>
          <w:sz w:val="20"/>
          <w:szCs w:val="20"/>
          <w:color w:val="auto"/>
        </w:rPr>
      </w:pPr>
      <w:r>
        <w:rPr>
          <w:rFonts w:ascii="Times New Roman" w:cs="Times New Roman" w:eastAsia="Times New Roman" w:hAnsi="Times New Roman"/>
          <w:sz w:val="22"/>
          <w:szCs w:val="22"/>
          <w:color w:val="auto"/>
        </w:rPr>
        <w:t>construed as a waiver of any such provision, or prevent that party thereafter from enforcing each and every other provision of this Agreement.</w:t>
      </w:r>
    </w:p>
    <w:p>
      <w:pPr>
        <w:spacing w:after="0" w:line="178"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8.4.</w:t>
      </w: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Agreement will be governed by and construed in accordance with the laws of the United States and the State of California applicable to contracts made and to be performed wholly within such State, and without regard to the conflicts of laws principles thereof. Any suit brought hereon shall be brought in the state or federal courts sitting in Santa Clara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1"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1"/>
          <w:szCs w:val="21"/>
          <w:color w:val="auto"/>
        </w:rPr>
        <w:t>8.5.</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w:t>
      </w:r>
    </w:p>
    <w:p>
      <w:pPr>
        <w:spacing w:after="0" w:line="1" w:lineRule="exact"/>
        <w:rPr>
          <w:sz w:val="20"/>
          <w:szCs w:val="20"/>
          <w:color w:val="auto"/>
        </w:rPr>
      </w:pPr>
    </w:p>
    <w:p>
      <w:pPr>
        <w:ind w:right="60" w:firstLine="8"/>
        <w:spacing w:after="0" w:line="235" w:lineRule="auto"/>
        <w:tabs>
          <w:tab w:leader="none" w:pos="30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certified or registered mail, return receipt requested, upon verification of receipt. Notice shall be sent to Executive at the address set forth below and to the Company at its principal place of business, or such other address as either party may specify in writing.</w:t>
      </w:r>
    </w:p>
    <w:p>
      <w:pPr>
        <w:spacing w:after="0" w:line="178" w:lineRule="exact"/>
        <w:rPr>
          <w:sz w:val="20"/>
          <w:szCs w:val="20"/>
          <w:color w:val="auto"/>
        </w:rPr>
      </w:pPr>
    </w:p>
    <w:p>
      <w:pPr>
        <w:ind w:right="340" w:firstLine="749"/>
        <w:spacing w:after="0" w:line="244" w:lineRule="auto"/>
        <w:rPr>
          <w:sz w:val="20"/>
          <w:szCs w:val="20"/>
          <w:color w:val="auto"/>
        </w:rPr>
      </w:pPr>
      <w:r>
        <w:rPr>
          <w:rFonts w:ascii="Times New Roman" w:cs="Times New Roman" w:eastAsia="Times New Roman" w:hAnsi="Times New Roman"/>
          <w:sz w:val="22"/>
          <w:szCs w:val="22"/>
          <w:color w:val="auto"/>
        </w:rPr>
        <w:t>8.6.</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Sections 1 (“Definitions”), 3 (“Severance”), 4 (“Return of the Company’s Property”), 5 (“Agreement to Arbitrate”), 7 (“Confidentiality and Proprietary Rights”) and 8 (“General Provisions”) of this Agreement shall survive termination of Executive’s employment by the Company.</w:t>
      </w:r>
    </w:p>
    <w:p>
      <w:pPr>
        <w:spacing w:after="0" w:line="173" w:lineRule="exact"/>
        <w:rPr>
          <w:sz w:val="20"/>
          <w:szCs w:val="20"/>
          <w:color w:val="auto"/>
        </w:rPr>
      </w:pPr>
    </w:p>
    <w:p>
      <w:pPr>
        <w:ind w:right="200" w:firstLine="749"/>
        <w:spacing w:after="0" w:line="238" w:lineRule="auto"/>
        <w:rPr>
          <w:sz w:val="20"/>
          <w:szCs w:val="20"/>
          <w:color w:val="auto"/>
        </w:rPr>
      </w:pPr>
      <w:r>
        <w:rPr>
          <w:rFonts w:ascii="Times New Roman" w:cs="Times New Roman" w:eastAsia="Times New Roman" w:hAnsi="Times New Roman"/>
          <w:sz w:val="22"/>
          <w:szCs w:val="22"/>
          <w:color w:val="auto"/>
        </w:rPr>
        <w:t>8.7.</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Confidentiality and Proprietary Rights Agreements incorporated herein by reference together constitute the entire agreement between the parties in respect of the subject matter contained herein and therein and supersede all prior or simultaneous representations, discussions, negotiations, and agreements, whether written or oral, including, without limitation, any previous severance agreement or change in control severance agreement between the Company (or any of the Company’s Subsidiaries) and Executive.</w:t>
      </w:r>
    </w:p>
    <w:p>
      <w:pPr>
        <w:spacing w:after="0" w:line="177"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8.8.</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may be amended or modified only with the written consent of Executive and an authorized representative of the Company. No oral waiver, amendment or modification will be effective under any circumstances whatsoever.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8.9.</w:t>
      </w: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60" w:firstLine="1505"/>
        <w:spacing w:after="0" w:line="238" w:lineRule="auto"/>
        <w:tabs>
          <w:tab w:leader="none" w:pos="203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this Agreement shall be interpreted in accordance with Code Section 409A and Department of Treasury regulations and other interpretive guidance issued thereunder. Each separately identified amount to which Executive is entitled under this Agreement shall be treated as a separate payment. In addition, to the extent permissible under Code Section 409A, any series of installment payments under this Agreement shall be treated as a right to a series of separate payments.</w:t>
      </w:r>
    </w:p>
    <w:p>
      <w:pPr>
        <w:spacing w:after="0" w:line="176" w:lineRule="exact"/>
        <w:rPr>
          <w:rFonts w:ascii="Times New Roman" w:cs="Times New Roman" w:eastAsia="Times New Roman" w:hAnsi="Times New Roman"/>
          <w:sz w:val="22"/>
          <w:szCs w:val="22"/>
          <w:color w:val="auto"/>
        </w:rPr>
      </w:pPr>
    </w:p>
    <w:p>
      <w:pPr>
        <w:ind w:firstLine="1505"/>
        <w:spacing w:after="0" w:line="249" w:lineRule="auto"/>
        <w:tabs>
          <w:tab w:leader="none" w:pos="203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a “specified employee” (as defined in Section 409A of the Code), as determined by the Company in accordance with Section 409A of the Code, on the date of the Executive’s Separation from Service, to the extent that the payments or benefits under this Agreement are subject to Section 409A of the Code and the delayed payment or distribution of all or any portion of such amounts to which Executive is entitled under this Agreement is required in order to avoid a prohibited distribution under Section 409A(a)(2)(B)(i) of the Code, then such portion deferred pursuant to this Section 8.9(b) shall be paid or distributed to Executive in a lump sum on the earlier of (i) the date that is six (6) months following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74" w:name="page75"/>
    <w:bookmarkEnd w:id="74"/>
    <w:p>
      <w:pPr>
        <w:ind w:right="460"/>
        <w:spacing w:after="0" w:line="258" w:lineRule="auto"/>
        <w:rPr>
          <w:sz w:val="20"/>
          <w:szCs w:val="20"/>
          <w:color w:val="auto"/>
        </w:rPr>
      </w:pPr>
      <w:r>
        <w:rPr>
          <w:rFonts w:ascii="Times New Roman" w:cs="Times New Roman" w:eastAsia="Times New Roman" w:hAnsi="Times New Roman"/>
          <w:sz w:val="22"/>
          <w:szCs w:val="22"/>
          <w:color w:val="auto"/>
        </w:rPr>
        <w:t>Separation from Service, (ii) the date of Executive’s death or (iii) the earliest date as is permitted under Section 409A of the Code. Any remaining payments due under the Agreement shall be paid as otherwise provided herein.</w:t>
      </w:r>
    </w:p>
    <w:p>
      <w:pPr>
        <w:spacing w:after="0" w:line="158" w:lineRule="exact"/>
        <w:rPr>
          <w:sz w:val="20"/>
          <w:szCs w:val="20"/>
          <w:color w:val="auto"/>
        </w:rPr>
      </w:pPr>
    </w:p>
    <w:p>
      <w:pPr>
        <w:ind w:right="220" w:firstLine="1505"/>
        <w:spacing w:after="0" w:line="234" w:lineRule="auto"/>
        <w:tabs>
          <w:tab w:leader="none" w:pos="203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in-kind benefits and reimbursements provided under this Agreement during any tax year of Executive shall not affect in-kind benefits or reimbursements to be provided in any other tax year of Executive and are not subject to liquidation or exchange for another benefit. Notwithstanding anything to the contrary in this Agreement, reimbursement requests must be timely submitted by Executive and, if timely submitted, reimbursement payments shall be made to Executive as soon as administratively practicable following such submission, but in no event later than the last day of Executive’s taxable year following the taxable year in which the expense was incurred. In no event shall Executive be entitled to any reimbursement payments after the last day of Executive’s taxable year following the taxable year in which the expense was incurred. This section shall only apply to in-kind benefits and reimbursements that would result in taxable compensation income to Executive.</w:t>
      </w:r>
    </w:p>
    <w:p>
      <w:pPr>
        <w:spacing w:after="0" w:line="183" w:lineRule="exact"/>
        <w:rPr>
          <w:sz w:val="20"/>
          <w:szCs w:val="20"/>
          <w:color w:val="auto"/>
        </w:rPr>
      </w:pPr>
    </w:p>
    <w:p>
      <w:pPr>
        <w:jc w:val="both"/>
        <w:ind w:right="40" w:firstLine="749"/>
        <w:spacing w:after="0" w:line="239" w:lineRule="auto"/>
        <w:rPr>
          <w:sz w:val="20"/>
          <w:szCs w:val="20"/>
          <w:color w:val="auto"/>
        </w:rPr>
      </w:pPr>
      <w:r>
        <w:rPr>
          <w:rFonts w:ascii="Times New Roman" w:cs="Times New Roman" w:eastAsia="Times New Roman" w:hAnsi="Times New Roman"/>
          <w:sz w:val="22"/>
          <w:szCs w:val="22"/>
          <w:color w:val="auto"/>
        </w:rPr>
        <w:t>8.10.</w:t>
      </w:r>
      <w:r>
        <w:rPr>
          <w:rFonts w:ascii="Times New Roman" w:cs="Times New Roman" w:eastAsia="Times New Roman" w:hAnsi="Times New Roman"/>
          <w:sz w:val="22"/>
          <w:szCs w:val="22"/>
          <w:u w:val="single" w:color="auto"/>
          <w:color w:val="auto"/>
        </w:rPr>
        <w:t>Consultation with Legal and Financial Advisors</w:t>
      </w:r>
      <w:r>
        <w:rPr>
          <w:rFonts w:ascii="Times New Roman" w:cs="Times New Roman" w:eastAsia="Times New Roman" w:hAnsi="Times New Roman"/>
          <w:sz w:val="22"/>
          <w:szCs w:val="22"/>
          <w:color w:val="auto"/>
        </w:rPr>
        <w:t>. By executing this Agreement, Executive acknowledges that this Agreement confers significant legal rights, and may also involve the waiver of rights under other agreements; that the Company has encouraged Executive to consult with Executive’s personal legal and financial advisors; and that Executive has had adequate time to consult with Executive’s advisors before executing this Agreement.</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8.11.</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multiple counterparts, each of which shall be deemed an original but all of which together shall constitute one and the same instrument.</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0" w:right="399" w:bottom="1440" w:gutter="0" w:footer="0" w:header="0"/>
        </w:sectPr>
      </w:pPr>
    </w:p>
    <w:bookmarkStart w:id="75" w:name="page76"/>
    <w:bookmarkEnd w:id="75"/>
    <w:p>
      <w:pPr>
        <w:jc w:val="both"/>
        <w:spacing w:after="0" w:line="244" w:lineRule="auto"/>
        <w:rPr>
          <w:sz w:val="20"/>
          <w:szCs w:val="20"/>
          <w:color w:val="auto"/>
        </w:rPr>
      </w:pPr>
      <w:r>
        <w:rPr>
          <w:rFonts w:ascii="Times New Roman" w:cs="Times New Roman" w:eastAsia="Times New Roman" w:hAnsi="Times New Roman"/>
          <w:sz w:val="22"/>
          <w:szCs w:val="22"/>
          <w:color w:val="auto"/>
        </w:rPr>
        <w:t>THE PARTIES TO THIS AGREEMENT HAVE READ THE FOREGOING AGREEMENT AND FULLY UNDERSTAND EACH AND EVERY PROVISION CONTAINED HEREIN. WHEREFORE, THE PARTIES HAVE EXECUTED THIS AGREEMENT ON THE DATES SHOWN BELOW.</w:t>
      </w:r>
    </w:p>
    <w:p>
      <w:pPr>
        <w:spacing w:after="0" w:line="16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ADEIA INC.</w:t>
      </w:r>
    </w:p>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u w:val="single" w:color="auto"/>
          <w:color w:val="auto"/>
        </w:rPr>
        <w:t>/s/ Kevin Tanji</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October 12, 2026</w:t>
      </w:r>
    </w:p>
    <w:p>
      <w:pPr>
        <w:ind w:left="4500"/>
        <w:spacing w:after="0" w:line="230" w:lineRule="auto"/>
        <w:rPr>
          <w:sz w:val="20"/>
          <w:szCs w:val="20"/>
          <w:color w:val="auto"/>
        </w:rPr>
      </w:pPr>
      <w:r>
        <w:rPr>
          <w:rFonts w:ascii="Times New Roman" w:cs="Times New Roman" w:eastAsia="Times New Roman" w:hAnsi="Times New Roman"/>
          <w:sz w:val="22"/>
          <w:szCs w:val="22"/>
          <w:color w:val="auto"/>
        </w:rPr>
        <w:t>Name: Kevin Tanji</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Chief Legal Officer</w:t>
      </w:r>
    </w:p>
    <w:p>
      <w:pPr>
        <w:spacing w:after="0" w:line="3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u w:val="single" w:color="auto"/>
          <w:color w:val="auto"/>
        </w:rPr>
        <w:t>/s/ Dipti Vachani</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Dated: October 12, 2026</w:t>
      </w:r>
    </w:p>
    <w:p>
      <w:pPr>
        <w:ind w:left="4500"/>
        <w:spacing w:after="0" w:line="230" w:lineRule="auto"/>
        <w:rPr>
          <w:sz w:val="20"/>
          <w:szCs w:val="20"/>
          <w:color w:val="auto"/>
        </w:rPr>
      </w:pPr>
      <w:r>
        <w:rPr>
          <w:rFonts w:ascii="Times New Roman" w:cs="Times New Roman" w:eastAsia="Times New Roman" w:hAnsi="Times New Roman"/>
          <w:sz w:val="22"/>
          <w:szCs w:val="22"/>
          <w:color w:val="auto"/>
        </w:rPr>
        <w:t>Print Name: Dipti Vachani</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General Release of Claims</w:t>
      </w:r>
    </w:p>
    <w:p>
      <w:pPr>
        <w:spacing w:after="0" w:line="3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[The language in this Release may change based on legal developments and evolving best practices; provided, however, that no new post-termination covenants shall be imposed on Executive; this form is provided as an example of what will be included in the final Release document.]</w:t>
      </w:r>
    </w:p>
    <w:p>
      <w:pPr>
        <w:spacing w:after="0" w:line="165" w:lineRule="exact"/>
        <w:rPr>
          <w:sz w:val="20"/>
          <w:szCs w:val="20"/>
          <w:color w:val="auto"/>
        </w:rPr>
      </w:pPr>
    </w:p>
    <w:p>
      <w:pPr>
        <w:jc w:val="both"/>
        <w:ind w:right="20" w:firstLine="749"/>
        <w:spacing w:after="0" w:line="288" w:lineRule="auto"/>
        <w:rPr>
          <w:sz w:val="20"/>
          <w:szCs w:val="20"/>
          <w:color w:val="auto"/>
        </w:rPr>
      </w:pPr>
      <w:r>
        <w:rPr>
          <w:rFonts w:ascii="Times New Roman" w:cs="Times New Roman" w:eastAsia="Times New Roman" w:hAnsi="Times New Roman"/>
          <w:sz w:val="21"/>
          <w:szCs w:val="21"/>
          <w:color w:val="auto"/>
        </w:rPr>
        <w:t>This General Release of Claims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is entered into as of this [●] day of [Month], [Year], between Dipti Vachani (“</w:t>
      </w:r>
      <w:r>
        <w:rPr>
          <w:rFonts w:ascii="Times New Roman" w:cs="Times New Roman" w:eastAsia="Times New Roman" w:hAnsi="Times New Roman"/>
          <w:sz w:val="21"/>
          <w:szCs w:val="21"/>
          <w:b w:val="1"/>
          <w:bCs w:val="1"/>
          <w:i w:val="1"/>
          <w:iCs w:val="1"/>
          <w:color w:val="auto"/>
        </w:rPr>
        <w:t>Executive</w:t>
      </w:r>
      <w:r>
        <w:rPr>
          <w:rFonts w:ascii="Times New Roman" w:cs="Times New Roman" w:eastAsia="Times New Roman" w:hAnsi="Times New Roman"/>
          <w:sz w:val="21"/>
          <w:szCs w:val="21"/>
          <w:color w:val="auto"/>
        </w:rPr>
        <w:t>”), and Adeia Inc.,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(collectively referred to herein as the “</w:t>
      </w:r>
      <w:r>
        <w:rPr>
          <w:rFonts w:ascii="Times New Roman" w:cs="Times New Roman" w:eastAsia="Times New Roman" w:hAnsi="Times New Roman"/>
          <w:sz w:val="21"/>
          <w:szCs w:val="21"/>
          <w:b w:val="1"/>
          <w:bCs w:val="1"/>
          <w:i w:val="1"/>
          <w:iCs w:val="1"/>
          <w:color w:val="auto"/>
        </w:rPr>
        <w:t>Parties</w:t>
      </w:r>
      <w:r>
        <w:rPr>
          <w:rFonts w:ascii="Times New Roman" w:cs="Times New Roman" w:eastAsia="Times New Roman" w:hAnsi="Times New Roman"/>
          <w:sz w:val="21"/>
          <w:szCs w:val="21"/>
          <w:color w:val="auto"/>
        </w:rPr>
        <w:t>”).</w:t>
      </w:r>
    </w:p>
    <w:p>
      <w:pPr>
        <w:spacing w:after="0" w:line="12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Executive and the Company are parties to that certain Severance Agreement effective as of [•]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Parties agree that Executive is entitled to certain severance benefits under the Agreement, subject to Executive’s execution of this Release; and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Company and Executive now wish to fully and finally to resolve all matters between them.</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and subject to, the severance benefits payable to Executive pursuant to the Agreement, the adequacy of which is hereby acknowledged by Executive, and which Executive acknowledges that he or she would not otherwise be entitled to receive, Executive and the Company hereby agree as follows:</w:t>
      </w:r>
    </w:p>
    <w:p>
      <w:pPr>
        <w:spacing w:after="0" w:line="173" w:lineRule="exact"/>
        <w:rPr>
          <w:sz w:val="20"/>
          <w:szCs w:val="20"/>
          <w:color w:val="auto"/>
        </w:rPr>
      </w:pPr>
    </w:p>
    <w:p>
      <w:pPr>
        <w:ind w:left="1020" w:hanging="263"/>
        <w:spacing w:after="0"/>
        <w:tabs>
          <w:tab w:leader="none" w:pos="10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 of Claims by Executive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505"/>
        <w:spacing w:after="0" w:line="232" w:lineRule="auto"/>
        <w:tabs>
          <w:tab w:leader="none" w:pos="203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on behalf of himself or herself and his or her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Executive is or has been a participant by virtue of his or her employment with or service to the Company (collectively, the “</w:t>
      </w:r>
      <w:r>
        <w:rPr>
          <w:rFonts w:ascii="Times New Roman" w:cs="Times New Roman" w:eastAsia="Times New Roman" w:hAnsi="Times New Roman"/>
          <w:sz w:val="22"/>
          <w:szCs w:val="22"/>
          <w:b w:val="1"/>
          <w:bCs w:val="1"/>
          <w:i w:val="1"/>
          <w:iCs w:val="1"/>
          <w:color w:val="auto"/>
        </w:rPr>
        <w:t>Company Releasees</w:t>
      </w:r>
      <w:r>
        <w:rPr>
          <w:rFonts w:ascii="Times New Roman" w:cs="Times New Roman" w:eastAsia="Times New Roman" w:hAnsi="Times New Roman"/>
          <w:sz w:val="22"/>
          <w:szCs w:val="22"/>
          <w:color w:val="auto"/>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 asserted or unasserted, suspected or unsuspected (collectively,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xml:space="preserve">”), which Executive has or may have had against such entities based on any events or circumstances arising or occurring on or prior to the date hereof or on or prior to the date hereof, arising directly or indirectly out of, relating to, or in any other way involving in any manner whatsoever Executive’s employment by or service to the Company or the 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Americans with Disabilities Act, as amended, 42 U.S.C. § 12101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Rehabilitation Act of 1973, as amended, 29 U.S.C. § 701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Civil Rights Act of 1866, and the Civil Rights Act of 1991; 42 U.S.C. Section 1981,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Age Discrimination in Employment Act, as amended, 29 U.S.C. Section 621,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 xml:space="preserve">”); the Equal Pay Act, as amended, 29 U.S.C. Section 206(d); regulations of the Office of Federal Contract Compliance, 41 C.F.R. Section 60,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Family and Medical Leave Act, as amended, 29 U.S.C. § 2601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Fair Labor Standards Act of 1938, as amended, 29 U.S.C. § 201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the Employee Retirement Income Security Act, as amended,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1"/>
          <w:szCs w:val="21"/>
          <w:color w:val="auto"/>
        </w:rPr>
        <w:t xml:space="preserve">U.S.C. § 1001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and the California Fair Employment and Housing Act, California Government Code Section 12940,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generality of the foregoing, Executive does not release the following claims:</w:t>
      </w:r>
    </w:p>
    <w:p>
      <w:pPr>
        <w:spacing w:after="0" w:line="206" w:lineRule="exact"/>
        <w:rPr>
          <w:sz w:val="20"/>
          <w:szCs w:val="20"/>
          <w:color w:val="auto"/>
        </w:rPr>
      </w:pPr>
    </w:p>
    <w:p>
      <w:pPr>
        <w:ind w:right="160" w:firstLine="2246"/>
        <w:spacing w:after="0" w:line="258" w:lineRule="auto"/>
        <w:rPr>
          <w:sz w:val="20"/>
          <w:szCs w:val="20"/>
          <w:color w:val="auto"/>
        </w:rPr>
      </w:pPr>
      <w:r>
        <w:rPr>
          <w:rFonts w:ascii="Times New Roman" w:cs="Times New Roman" w:eastAsia="Times New Roman" w:hAnsi="Times New Roman"/>
          <w:sz w:val="22"/>
          <w:szCs w:val="22"/>
          <w:color w:val="auto"/>
        </w:rPr>
        <w:t>8.11.1.1.Claims for unemployment compensation or any state disability insurance benefits pursuant to the terms of applicable state law;</w:t>
      </w:r>
    </w:p>
    <w:p>
      <w:pPr>
        <w:spacing w:after="0" w:line="158" w:lineRule="exact"/>
        <w:rPr>
          <w:sz w:val="20"/>
          <w:szCs w:val="20"/>
          <w:color w:val="auto"/>
        </w:rPr>
      </w:pPr>
    </w:p>
    <w:p>
      <w:pPr>
        <w:ind w:right="800" w:firstLine="2246"/>
        <w:spacing w:after="0" w:line="258" w:lineRule="auto"/>
        <w:rPr>
          <w:sz w:val="20"/>
          <w:szCs w:val="20"/>
          <w:color w:val="auto"/>
        </w:rPr>
      </w:pPr>
      <w:r>
        <w:rPr>
          <w:rFonts w:ascii="Times New Roman" w:cs="Times New Roman" w:eastAsia="Times New Roman" w:hAnsi="Times New Roman"/>
          <w:sz w:val="22"/>
          <w:szCs w:val="22"/>
          <w:color w:val="auto"/>
        </w:rPr>
        <w:t>8.11.1.2.Claims for workers’ compensation insurance benefits under the terms of any worker’s compensation insurance policy or fund of the Company;</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8.11.1.3.Claims pursuant to the terms and conditions of the federal law known as COBRA</w:t>
      </w:r>
    </w:p>
    <w:p>
      <w:pPr>
        <w:spacing w:after="0" w:line="206" w:lineRule="exact"/>
        <w:rPr>
          <w:sz w:val="20"/>
          <w:szCs w:val="20"/>
          <w:color w:val="auto"/>
        </w:rPr>
      </w:pPr>
    </w:p>
    <w:p>
      <w:pPr>
        <w:ind w:right="60" w:firstLine="2246"/>
        <w:spacing w:after="0" w:line="244" w:lineRule="auto"/>
        <w:rPr>
          <w:sz w:val="20"/>
          <w:szCs w:val="20"/>
          <w:color w:val="auto"/>
        </w:rPr>
      </w:pPr>
      <w:r>
        <w:rPr>
          <w:rFonts w:ascii="Times New Roman" w:cs="Times New Roman" w:eastAsia="Times New Roman" w:hAnsi="Times New Roman"/>
          <w:sz w:val="22"/>
          <w:szCs w:val="22"/>
          <w:color w:val="auto"/>
        </w:rPr>
        <w:t>8.11.1.4.Claims for indemnity under the bylaws of the Company, as provided for by California law or under any applicable insurance policy or indemnification agreement with respect to Executive’s liability as an employee, director or officer of the Company;</w:t>
      </w:r>
    </w:p>
    <w:p>
      <w:pPr>
        <w:spacing w:after="0" w:line="17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8.11.1.5.Claims based on any right Executive may have to enforce the Company’s executory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obligations under the Agreement (including, for the avoidance of doubt, Claims to enforce the Company’s obligations to pay or</w:t>
      </w:r>
    </w:p>
    <w:p>
      <w:pPr>
        <w:spacing w:after="0" w:line="230" w:lineRule="auto"/>
        <w:rPr>
          <w:sz w:val="20"/>
          <w:szCs w:val="20"/>
          <w:color w:val="auto"/>
        </w:rPr>
      </w:pPr>
      <w:r>
        <w:rPr>
          <w:rFonts w:ascii="Times New Roman" w:cs="Times New Roman" w:eastAsia="Times New Roman" w:hAnsi="Times New Roman"/>
          <w:sz w:val="22"/>
          <w:szCs w:val="22"/>
          <w:color w:val="auto"/>
        </w:rPr>
        <w:t>provide payments and benefits that are contingent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the effectiveness of this Release); and</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8.11.1.6.Claims Executive may have to vested or earned compensation and benefits.</w:t>
      </w:r>
    </w:p>
    <w:p>
      <w:pPr>
        <w:spacing w:after="0" w:line="206" w:lineRule="exact"/>
        <w:rPr>
          <w:sz w:val="20"/>
          <w:szCs w:val="20"/>
          <w:color w:val="auto"/>
        </w:rPr>
      </w:pPr>
    </w:p>
    <w:p>
      <w:pPr>
        <w:ind w:right="40" w:firstLine="1505"/>
        <w:spacing w:after="0" w:line="282" w:lineRule="auto"/>
        <w:tabs>
          <w:tab w:leader="none" w:pos="203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HE OR SHE HAS BEEN ADVISED OF AND IS FAMILIAR WITH THE PROVISIONS OF CALIFORNIA CIVIL CODE SECTION 1542, WHICH PROVIDES AS FOLLOWS:</w:t>
      </w:r>
    </w:p>
    <w:p>
      <w:pPr>
        <w:spacing w:after="0" w:line="1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BEING AWARE OF SAID CODE SECTION, EXECUTIVE HEREBY EXPRESSLY WAIVES ANY RIGHTS HE OR SHE MAY HAVE THEREUNDER, AS WELL AS UNDER ANY OTHER STATUTES OR COMMON LAW PRINCIPLES OF SIMILAR EFFECT.</w:t>
      </w:r>
    </w:p>
    <w:p>
      <w:pPr>
        <w:spacing w:after="0" w:line="173" w:lineRule="exact"/>
        <w:rPr>
          <w:sz w:val="20"/>
          <w:szCs w:val="20"/>
          <w:color w:val="auto"/>
        </w:rPr>
      </w:pPr>
    </w:p>
    <w:p>
      <w:pPr>
        <w:ind w:right="260" w:firstLine="1505"/>
        <w:spacing w:after="0" w:line="235" w:lineRule="auto"/>
        <w:tabs>
          <w:tab w:leader="none" w:pos="203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this Release was presented to him or her on the date indicated above and that Executive is entitled to have twenty-one (21) days’ time in which to consider it. Executive further acknowledges that the Company has advised him or her that he or she is waiving his or her rights under the ADEA, and that Executive should consult with an attorney of his or her choice before signing this Release, and Executive has had sufficient time to consider the terms of this Release. Executive represents and acknowledges that if Executive executes this Release before twenty-one (21) days have elapsed, Executive does so knowingly, voluntarily, and upon the advice and with the approval of Executive’s legal counsel (if any), and that Executive voluntarily waives any remaining consideration period.</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understands that after executing this Release, Executive has the right to revoke it within seven</w:t>
      </w:r>
    </w:p>
    <w:p>
      <w:pPr>
        <w:spacing w:after="0" w:line="25" w:lineRule="exact"/>
        <w:rPr>
          <w:rFonts w:ascii="Times New Roman" w:cs="Times New Roman" w:eastAsia="Times New Roman" w:hAnsi="Times New Roman"/>
          <w:sz w:val="21"/>
          <w:szCs w:val="21"/>
          <w:color w:val="auto"/>
        </w:rPr>
      </w:pPr>
    </w:p>
    <w:p>
      <w:pPr>
        <w:jc w:val="both"/>
        <w:ind w:right="100" w:firstLine="8"/>
        <w:spacing w:after="0" w:line="235" w:lineRule="auto"/>
        <w:tabs>
          <w:tab w:leader="none" w:pos="30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his or her execution of it. Executive understands that this Release will not become effective and enforceable unless the seven (7) day revocation period passes and Executive does not revoke the Release in writing. Executive understands that this Release may not be revoked after the seven (7)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8" w:name="page79"/>
    <w:bookmarkEnd w:id="78"/>
    <w:p>
      <w:pPr>
        <w:ind w:right="680"/>
        <w:spacing w:after="0" w:line="258" w:lineRule="auto"/>
        <w:rPr>
          <w:sz w:val="20"/>
          <w:szCs w:val="20"/>
          <w:color w:val="auto"/>
        </w:rPr>
      </w:pPr>
      <w:r>
        <w:rPr>
          <w:rFonts w:ascii="Times New Roman" w:cs="Times New Roman" w:eastAsia="Times New Roman" w:hAnsi="Times New Roman"/>
          <w:sz w:val="22"/>
          <w:szCs w:val="22"/>
          <w:color w:val="auto"/>
        </w:rPr>
        <w:t>revocation period has passed. Executive also understands that any revocation of this Release must be made in writing and delivered to the Company at its principal place of business within the seven (7) day period.</w:t>
      </w:r>
    </w:p>
    <w:p>
      <w:pPr>
        <w:spacing w:after="0" w:line="158" w:lineRule="exact"/>
        <w:rPr>
          <w:sz w:val="20"/>
          <w:szCs w:val="20"/>
          <w:color w:val="auto"/>
        </w:rPr>
      </w:pPr>
    </w:p>
    <w:p>
      <w:pPr>
        <w:ind w:right="120" w:firstLine="1505"/>
        <w:spacing w:after="0" w:line="238" w:lineRule="auto"/>
        <w:tabs>
          <w:tab w:leader="none" w:pos="203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understands that this Release shall become effective, irrevocable, and binding upon Executive on the eighth (8th) day after his or her execution of it, so long as Executive has not revoked it within the time period and in the manner specified in clause (d) above. Executive further understands that Executive will not be given any severance benefits under the Agreement unless this Release is effective on or before the date that is sixty (60) days following the Date of Termination (as defined in the Agreement).</w:t>
      </w:r>
    </w:p>
    <w:p>
      <w:pPr>
        <w:spacing w:after="0" w:line="176" w:lineRule="exact"/>
        <w:rPr>
          <w:rFonts w:ascii="Times New Roman" w:cs="Times New Roman" w:eastAsia="Times New Roman" w:hAnsi="Times New Roman"/>
          <w:sz w:val="22"/>
          <w:szCs w:val="22"/>
          <w:color w:val="auto"/>
        </w:rPr>
      </w:pPr>
    </w:p>
    <w:p>
      <w:pPr>
        <w:ind w:right="40" w:firstLine="1505"/>
        <w:spacing w:after="0" w:line="236" w:lineRule="auto"/>
        <w:tabs>
          <w:tab w:leader="none" w:pos="203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Release shall be deemed to restrict Executive’s right to communicate directly with, cooperate with, provide information to, or report possible violations of federal law or regulation to, any governmental agency or entity in accordance with the provisions of and rules promulgated under Section 21F of the Exchange Act or Section 806 of the Sarbanes- Oxley Act of 2002, or any other whistleblower protection provisions of state or federal law or regulation, including, but not limited to, the U.S. Securities and Exchange Commission, the U.S. Commodity Futures Trading Commission, or the U.S. Department of Justice.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Executive represents and warrants to the Company Releasees</w:t>
      </w:r>
    </w:p>
    <w:p>
      <w:pPr>
        <w:spacing w:after="0" w:line="14" w:lineRule="exact"/>
        <w:rPr>
          <w:sz w:val="20"/>
          <w:szCs w:val="20"/>
          <w:color w:val="auto"/>
        </w:rPr>
      </w:pPr>
    </w:p>
    <w:p>
      <w:pPr>
        <w:ind w:right="320"/>
        <w:spacing w:after="0" w:line="230" w:lineRule="auto"/>
        <w:rPr>
          <w:sz w:val="20"/>
          <w:szCs w:val="20"/>
          <w:color w:val="auto"/>
        </w:rPr>
      </w:pPr>
      <w:r>
        <w:rPr>
          <w:rFonts w:ascii="Times New Roman" w:cs="Times New Roman" w:eastAsia="Times New Roman" w:hAnsi="Times New Roman"/>
          <w:sz w:val="22"/>
          <w:szCs w:val="22"/>
          <w:color w:val="auto"/>
        </w:rPr>
        <w:t>that there has been no assignment or other transfer of any interest in any Claim that Executive may have against the Company Releasees. Executive agrees to indemnify and hold harmless the Company Releasees from any liability, claims, demands, damages, costs, expenses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attorneys’ fees incurred as a result of any such assignment or transfer from Executive.</w:t>
      </w:r>
    </w:p>
    <w:p>
      <w:pPr>
        <w:spacing w:after="0" w:line="182" w:lineRule="exact"/>
        <w:rPr>
          <w:sz w:val="20"/>
          <w:szCs w:val="20"/>
          <w:color w:val="auto"/>
        </w:rPr>
      </w:pPr>
    </w:p>
    <w:p>
      <w:pPr>
        <w:ind w:firstLine="757"/>
        <w:spacing w:after="0" w:line="251" w:lineRule="auto"/>
        <w:tabs>
          <w:tab w:leader="none" w:pos="101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68" w:lineRule="exact"/>
        <w:rPr>
          <w:rFonts w:ascii="Times New Roman" w:cs="Times New Roman" w:eastAsia="Times New Roman" w:hAnsi="Times New Roman"/>
          <w:sz w:val="21"/>
          <w:szCs w:val="21"/>
          <w:color w:val="auto"/>
        </w:rPr>
      </w:pPr>
    </w:p>
    <w:p>
      <w:pPr>
        <w:ind w:right="140" w:firstLine="757"/>
        <w:spacing w:after="0" w:line="238" w:lineRule="auto"/>
        <w:tabs>
          <w:tab w:leader="none" w:pos="101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 Construction</w:t>
      </w:r>
      <w:r>
        <w:rPr>
          <w:rFonts w:ascii="Times New Roman" w:cs="Times New Roman" w:eastAsia="Times New Roman" w:hAnsi="Times New Roman"/>
          <w:sz w:val="22"/>
          <w:szCs w:val="22"/>
          <w:color w:val="auto"/>
        </w:rPr>
        <w:t>. The headings set forth in this Release are for convenience only and shall not be used in interpreting this Agreement. This Release has been drafted by legal counsel representing the Company, but Executive has participated in the</w:t>
      </w:r>
    </w:p>
    <w:p>
      <w:pPr>
        <w:jc w:val="both"/>
        <w:ind w:right="3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negotiation of its terms. Furthermore, Executive acknowledges that Executive has had an opportunity to review and revise the Release and have it reviewed by legal counsel, if desired, and, therefore, the normal rule of construction to the effect that any ambiguities are to be</w:t>
      </w:r>
    </w:p>
    <w:p>
      <w:pPr>
        <w:spacing w:after="0" w:line="1" w:lineRule="exact"/>
        <w:rPr>
          <w:rFonts w:ascii="Times New Roman" w:cs="Times New Roman" w:eastAsia="Times New Roman" w:hAnsi="Times New Roman"/>
          <w:sz w:val="22"/>
          <w:szCs w:val="22"/>
          <w:color w:val="auto"/>
        </w:rPr>
      </w:pP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resolved against the drafting party shall not be employed in the interpretation of this Release. Either party’s failure to enforce any provision of this Release shall not in any way be construed</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a waiver of any such provision, or prevent that party thereafter from enforcing each and every other provision of this Release.</w:t>
      </w:r>
    </w:p>
    <w:p>
      <w:pPr>
        <w:spacing w:after="0" w:line="193" w:lineRule="exact"/>
        <w:rPr>
          <w:rFonts w:ascii="Times New Roman" w:cs="Times New Roman" w:eastAsia="Times New Roman" w:hAnsi="Times New Roman"/>
          <w:sz w:val="22"/>
          <w:szCs w:val="22"/>
          <w:color w:val="auto"/>
        </w:rPr>
      </w:pPr>
    </w:p>
    <w:p>
      <w:pPr>
        <w:ind w:right="100" w:firstLine="757"/>
        <w:spacing w:after="0" w:line="236" w:lineRule="auto"/>
        <w:tabs>
          <w:tab w:leader="none" w:pos="101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Release will be governed by and construed in accordance with the laws of the United States of America and the State of California applicable to contracts made and to be performed wholly within such State, and without regard to the conflicts of laws principles thereof. Any suit brought hereon shall be brought in the state or federal courts sitting in Santa Clara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1"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Release and the Agreement constitute the entire</w:t>
      </w:r>
    </w:p>
    <w:p>
      <w:pPr>
        <w:spacing w:after="0" w:line="14" w:lineRule="exact"/>
        <w:rPr>
          <w:sz w:val="20"/>
          <w:szCs w:val="20"/>
          <w:color w:val="auto"/>
        </w:rPr>
      </w:pPr>
    </w:p>
    <w:p>
      <w:pPr>
        <w:ind w:right="320"/>
        <w:spacing w:after="0" w:line="234" w:lineRule="auto"/>
        <w:rPr>
          <w:sz w:val="20"/>
          <w:szCs w:val="20"/>
          <w:color w:val="auto"/>
        </w:rPr>
      </w:pPr>
      <w:r>
        <w:rPr>
          <w:rFonts w:ascii="Times New Roman" w:cs="Times New Roman" w:eastAsia="Times New Roman" w:hAnsi="Times New Roman"/>
          <w:sz w:val="22"/>
          <w:szCs w:val="22"/>
          <w:color w:val="auto"/>
        </w:rPr>
        <w:t>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Executive and an authorized representative of the Company. No oral waiver, amendment or modification will be effective under any circumstances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0" w:right="379" w:bottom="1440" w:gutter="0" w:footer="0" w:header="0"/>
        </w:sectPr>
      </w:pPr>
    </w:p>
    <w:bookmarkStart w:id="79" w:name="page80"/>
    <w:bookmarkEnd w:id="79"/>
    <w:p>
      <w:pPr>
        <w:ind w:left="-40" w:firstLine="757"/>
        <w:spacing w:after="0" w:line="258" w:lineRule="auto"/>
        <w:tabs>
          <w:tab w:leader="none" w:pos="97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Release may be executed in multiple counterparts, each of which shall be deemed to be an original but all of which together shall constitute one and the same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923925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60" w:right="359" w:bottom="1440" w:gutter="0" w:footer="0" w:header="0"/>
        </w:sectPr>
      </w:pPr>
    </w:p>
    <w:bookmarkStart w:id="80" w:name="page81"/>
    <w:bookmarkEnd w:id="80"/>
    <w:p>
      <w:pPr>
        <w:spacing w:after="0" w:line="258" w:lineRule="auto"/>
        <w:rPr>
          <w:sz w:val="20"/>
          <w:szCs w:val="20"/>
          <w:color w:val="auto"/>
        </w:rPr>
      </w:pPr>
      <w:r>
        <w:rPr>
          <w:rFonts w:ascii="Times New Roman" w:cs="Times New Roman" w:eastAsia="Times New Roman" w:hAnsi="Times New Roman"/>
          <w:sz w:val="22"/>
          <w:szCs w:val="22"/>
          <w:color w:val="auto"/>
        </w:rPr>
        <w:t>IN WITNESS WHEREOF, and intending to be legally bound, the Parties have executed the foregoing Release as of the date first written above.</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ADEIA INC.</w:t>
      </w:r>
    </w:p>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3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Print Name: Dipti Vachani</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1" w:name="page82"/>
    <w:bookmarkEnd w:id="81"/>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CONFIDENTIALITY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Attached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1063625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10" w:right="1440" w:bottom="1440" w:gutter="0" w:footer="0" w:header="0"/>
        </w:sectPr>
      </w:pPr>
    </w:p>
    <w:bookmarkStart w:id="82" w:name="page83"/>
    <w:bookmarkEnd w:id="82"/>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PROPRIETARY INFORMATION, INVENTIONS AND ETHICS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Attached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755015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4" w:right="1440"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448310</wp:posOffset>
            </wp:positionH>
            <wp:positionV relativeFrom="page">
              <wp:posOffset>774700</wp:posOffset>
            </wp:positionV>
            <wp:extent cx="1200150" cy="3771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clrChange>
                        <a:clrFrom>
                          <a:srgbClr val="FFFFFF"/>
                        </a:clrFrom>
                        <a:clrTo>
                          <a:srgbClr val="FFFFFF">
                            <a:alpha val="0"/>
                          </a:srgbClr>
                        </a:clrTo>
                      </a:clrChange>
                      <a:extLst>
                        <a:ext uri="{28A0092B-C50C-407E-A947-70E740481C1C}"/>
                      </a:extLst>
                    </a:blip>
                    <a:srcRect/>
                    <a:stretch>
                      <a:fillRect/>
                    </a:stretch>
                  </pic:blipFill>
                  <pic:spPr bwMode="auto">
                    <a:xfrm>
                      <a:off x="0" y="0"/>
                      <a:ext cx="1200150" cy="3771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Dipti Vachani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Dipti,</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Adeia Guides Inc. (“Adeia”) is pleased to offer employment to you as Chief Executive Officer, reporting directly to the Board of Directors of Adeia Inc. (the “Board”), on the terms set forth in this letter. Adeia and its affiliates are referred to in this letter as the “Company.” We are excited about the possibility of you joining our team and look forward to a mutually beneficial and successful relationship. This letter sets out the terms and conditions of your employment with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Appointment</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your appointment as Chief Executive Officer, you will also be appointed to the Board, effective as of your Start Date, subject to such corporate action as may be required under applicable law and the Company’s organizational documents. You agree to accept such appointment and to serve as a director of Adeia Inc. subject to the Company’s organizational documents, corporate governance guidelines, policies and applicable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Benefits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The compensation and benefits applicable to your position are summarized on </w:t>
      </w:r>
      <w:r>
        <w:rPr>
          <w:rFonts w:ascii="Arial" w:cs="Arial" w:eastAsia="Arial" w:hAnsi="Arial"/>
          <w:sz w:val="18"/>
          <w:szCs w:val="18"/>
          <w:u w:val="single" w:color="auto"/>
          <w:color w:val="auto"/>
        </w:rPr>
        <w:t>Attachment A</w:t>
      </w:r>
      <w:r>
        <w:rPr>
          <w:rFonts w:ascii="Arial" w:cs="Arial" w:eastAsia="Arial" w:hAnsi="Arial"/>
          <w:sz w:val="18"/>
          <w:szCs w:val="18"/>
          <w:color w:val="auto"/>
        </w:rPr>
        <w:t>, which is incorporated by reference into this letter. Adeia and Company reserve the right, in their sole discretion and to the extent permitted by applicable law, to modify, amend, suspend, or terminate any compensation, bonus, equity, or benefit plans, programs, or policies at any time, with or without prior notice.</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Your employment is contingent upon the successful completion of a background check and verification of references, to Adeia’s satisfaction. Adeia reserves the right to rescind this offer or terminate your employment if the results of such checks are unsatisfactory or if any information provided is found to be inaccurate or incomplete. If you have questions regarding any of these requirements, please let Human Resources know.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At-Will Employment</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By accepting this offer, you acknowledge and agree that your employment with Adeia is and will remain at-will. This means that either you or Adeia may terminate the employment relationship at any time, with or without cause or advance notice, subject only to applicable law. Nothing in this letter or in any Adeia or Company agreement, policy or communication shall be construed as creating a contract of employment for any specified duration or altering the at-will nature of your employment. The at-will nature of your employment may be modified only by a written agreement signed by you and an authorized officer of Adeia.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CompanyPolicies and Handbook</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a condition of your employment, you agree to comply with all Company policies, procedures, and standards of conduct, including those set forth in the Company’s employee handbook, as may be amended from time to time. The Company reserves the right to modify, interpret, suspend, or discontinue any such policies or procedures, in whole or in part, at its discretion, consistent with applicable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and Proprietary Rights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course of your employment, you may have access to confidential, proprietary or trade secret information of or related to the Company. As a condition of your employment, you will be required to sign and comply with the Company’s Proprietary Information, Inventions and Ethics Agreement in a form acceptable to the Company, which will be provided to you separately. You agree that you will not use or disclose any confidential or proprietary information of any prior employer or third party in the course of your employment with Adeia or with any other entity of Company. By accepting this offer, you represent and warrant that your employment with the Company will not violate any agreement or obligation you have with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457200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Arbitration Agreement</w:t>
      </w:r>
    </w:p>
    <w:p>
      <w:pPr>
        <w:spacing w:after="0" w:line="14"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As a condition of your employment, you will be required to review, sign, and comply with the Company’s Mutual Arbitration Policy and Agreement in a form acceptable to the Company, which will be provided to you separately. This agreement requires that most employment-related disputes be resolved through final and binding arbitration rather than in court.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Eligibility</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required by federal law, your employment is contingent upon your ability to provide satisfactory proof of your identity and authorization to work in the United States. You will be required to complete a Form I-9 and provide appropriate documentation within three (3) business days of your start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Entire Agreement</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letter, together with Attachment A and any documents expressly referenced herein, including any severance, change-in-control, indemnification, equity award or other agreements entered into in connection with your appointment, constitutes the complete and exclusive statement of the terms of your employment with the Company and supersedes all prior or contemporaneous representations, agreements, or understandings, whether written or oral, relating to the subject matter hereof. This letter may not be amended or modified except by a written agreement signed by you and an authorized representative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letter will be governed by and construed in accordance with the laws of the state in which you are employed by Adeia without regard to the conflicts of law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1085850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87" w:right="339" w:bottom="1440" w:gutter="0" w:footer="0" w:header="0"/>
        </w:sectPr>
      </w:pPr>
    </w:p>
    <w:bookmarkStart w:id="85" w:name="page86"/>
    <w:bookmarkEnd w:id="85"/>
    <w:p>
      <w:pPr>
        <w:ind w:left="380"/>
        <w:spacing w:after="0" w:line="271" w:lineRule="auto"/>
        <w:rPr>
          <w:sz w:val="20"/>
          <w:szCs w:val="20"/>
          <w:color w:val="auto"/>
        </w:rPr>
      </w:pPr>
      <w:r>
        <w:rPr>
          <w:rFonts w:ascii="Arial" w:cs="Arial" w:eastAsia="Arial" w:hAnsi="Arial"/>
          <w:sz w:val="18"/>
          <w:szCs w:val="18"/>
          <w:color w:val="auto"/>
        </w:rPr>
        <w:t>This offer will remain open for acceptance until three (3) business days from the date of this letter, after which it will expire unless extended by Adeia in writing.</w:t>
      </w:r>
    </w:p>
    <w:p>
      <w:pPr>
        <w:spacing w:after="0" w:line="140" w:lineRule="exact"/>
        <w:rPr>
          <w:sz w:val="20"/>
          <w:szCs w:val="20"/>
          <w:color w:val="auto"/>
        </w:rPr>
      </w:pPr>
    </w:p>
    <w:p>
      <w:pPr>
        <w:ind w:left="380" w:right="4640"/>
        <w:spacing w:after="0" w:line="570" w:lineRule="auto"/>
        <w:rPr>
          <w:sz w:val="20"/>
          <w:szCs w:val="20"/>
          <w:color w:val="auto"/>
        </w:rPr>
      </w:pPr>
      <w:r>
        <w:rPr>
          <w:rFonts w:ascii="Arial" w:cs="Arial" w:eastAsia="Arial" w:hAnsi="Arial"/>
          <w:sz w:val="18"/>
          <w:szCs w:val="18"/>
          <w:color w:val="auto"/>
        </w:rPr>
        <w:t>If you accept this offer, please sign and return this letter to Human Resources. We look forward to welcoming you to Adeia. Sincerely,</w:t>
      </w: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Christina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-7620</wp:posOffset>
            </wp:positionV>
            <wp:extent cx="186626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186626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Christina Sawyer</w:t>
      </w:r>
    </w:p>
    <w:p>
      <w:pPr>
        <w:ind w:left="380"/>
        <w:spacing w:after="0"/>
        <w:rPr>
          <w:sz w:val="20"/>
          <w:szCs w:val="20"/>
          <w:color w:val="auto"/>
        </w:rPr>
      </w:pPr>
      <w:r>
        <w:rPr>
          <w:rFonts w:ascii="Arial" w:cs="Arial" w:eastAsia="Arial" w:hAnsi="Arial"/>
          <w:sz w:val="18"/>
          <w:szCs w:val="18"/>
          <w:color w:val="auto"/>
        </w:rPr>
        <w:t>Chief People Officer</w:t>
      </w:r>
    </w:p>
    <w:p>
      <w:pPr>
        <w:spacing w:after="0" w:line="383"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Arial" w:cs="Arial" w:eastAsia="Arial" w:hAnsi="Arial"/>
                <w:sz w:val="18"/>
                <w:szCs w:val="18"/>
                <w:color w:val="auto"/>
              </w:rPr>
              <w:t>/s/ Dipti Vachani</w:t>
            </w:r>
          </w:p>
        </w:tc>
        <w:tc>
          <w:tcPr>
            <w:tcW w:w="4640" w:type="dxa"/>
            <w:vAlign w:val="bottom"/>
          </w:tcPr>
          <w:p>
            <w:pPr>
              <w:jc w:val="right"/>
              <w:ind w:right="1590"/>
              <w:spacing w:after="0"/>
              <w:rPr>
                <w:sz w:val="20"/>
                <w:szCs w:val="20"/>
                <w:color w:val="auto"/>
              </w:rPr>
            </w:pPr>
            <w:r>
              <w:rPr>
                <w:rFonts w:ascii="Arial" w:cs="Arial" w:eastAsia="Arial" w:hAnsi="Arial"/>
                <w:sz w:val="18"/>
                <w:szCs w:val="18"/>
                <w:color w:val="auto"/>
              </w:rPr>
              <w:t>9/26/2026</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October 12, 2026</w:t>
            </w:r>
          </w:p>
        </w:tc>
        <w:tc>
          <w:tcPr>
            <w:tcW w:w="0" w:type="dxa"/>
            <w:vAlign w:val="bottom"/>
          </w:tcPr>
          <w:p>
            <w:pPr>
              <w:spacing w:after="0"/>
              <w:rPr>
                <w:sz w:val="1"/>
                <w:szCs w:val="1"/>
                <w:color w:val="auto"/>
              </w:rPr>
            </w:pPr>
          </w:p>
        </w:tc>
      </w:tr>
      <w:tr>
        <w:trPr>
          <w:trHeight w:val="295"/>
        </w:trPr>
        <w:tc>
          <w:tcPr>
            <w:tcW w:w="3480" w:type="dxa"/>
            <w:vAlign w:val="bottom"/>
            <w:vMerge w:val="restart"/>
          </w:tcPr>
          <w:p>
            <w:pPr>
              <w:spacing w:after="0"/>
              <w:rPr>
                <w:sz w:val="20"/>
                <w:szCs w:val="20"/>
                <w:color w:val="auto"/>
              </w:rPr>
            </w:pPr>
            <w:r>
              <w:rPr>
                <w:rFonts w:ascii="Arial" w:cs="Arial" w:eastAsia="Arial" w:hAnsi="Arial"/>
                <w:sz w:val="18"/>
                <w:szCs w:val="18"/>
                <w:color w:val="auto"/>
              </w:rPr>
              <w:t>Dipti Vachani</w:t>
            </w:r>
          </w:p>
        </w:tc>
        <w:tc>
          <w:tcPr>
            <w:tcW w:w="4640" w:type="dxa"/>
            <w:vAlign w:val="bottom"/>
            <w:vMerge w:val="restart"/>
          </w:tcPr>
          <w:p>
            <w:pPr>
              <w:jc w:val="center"/>
              <w:ind w:left="410"/>
              <w:spacing w:after="0"/>
              <w:rPr>
                <w:sz w:val="20"/>
                <w:szCs w:val="20"/>
                <w:color w:val="auto"/>
              </w:rPr>
            </w:pPr>
            <w:r>
              <w:rPr>
                <w:rFonts w:ascii="Arial" w:cs="Arial" w:eastAsia="Arial" w:hAnsi="Arial"/>
                <w:sz w:val="18"/>
                <w:szCs w:val="18"/>
                <w:color w:val="auto"/>
                <w:w w:val="99"/>
              </w:rPr>
              <w:t>Date</w:t>
            </w:r>
          </w:p>
        </w:tc>
        <w:tc>
          <w:tcPr>
            <w:tcW w:w="1380" w:type="dxa"/>
            <w:vAlign w:val="bottom"/>
          </w:tcPr>
          <w:p>
            <w:pPr>
              <w:jc w:val="center"/>
              <w:spacing w:after="0"/>
              <w:rPr>
                <w:sz w:val="20"/>
                <w:szCs w:val="20"/>
                <w:color w:val="auto"/>
              </w:rPr>
            </w:pPr>
            <w:r>
              <w:rPr>
                <w:rFonts w:ascii="Arial" w:cs="Arial" w:eastAsia="Arial" w:hAnsi="Arial"/>
                <w:sz w:val="18"/>
                <w:szCs w:val="18"/>
                <w:color w:val="auto"/>
              </w:rPr>
              <w:t>Start Date</w:t>
            </w:r>
          </w:p>
        </w:tc>
        <w:tc>
          <w:tcPr>
            <w:tcW w:w="0" w:type="dxa"/>
            <w:vAlign w:val="bottom"/>
          </w:tcPr>
          <w:p>
            <w:pPr>
              <w:spacing w:after="0"/>
              <w:rPr>
                <w:sz w:val="1"/>
                <w:szCs w:val="1"/>
                <w:color w:val="auto"/>
              </w:rPr>
            </w:pPr>
          </w:p>
        </w:tc>
      </w:tr>
      <w:tr>
        <w:trPr>
          <w:trHeight w:val="81"/>
        </w:trPr>
        <w:tc>
          <w:tcPr>
            <w:tcW w:w="3480" w:type="dxa"/>
            <w:vAlign w:val="bottom"/>
            <w:vMerge w:val="continue"/>
          </w:tcPr>
          <w:p>
            <w:pPr>
              <w:spacing w:after="0"/>
              <w:rPr>
                <w:sz w:val="7"/>
                <w:szCs w:val="7"/>
                <w:color w:val="auto"/>
              </w:rPr>
            </w:pPr>
          </w:p>
        </w:tc>
        <w:tc>
          <w:tcPr>
            <w:tcW w:w="464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320" w:type="dxa"/>
            <w:vAlign w:val="bottom"/>
            <w:gridSpan w:val="2"/>
          </w:tcPr>
          <w:p>
            <w:pPr>
              <w:ind w:left="2120"/>
              <w:spacing w:after="0"/>
              <w:rPr>
                <w:sz w:val="20"/>
                <w:szCs w:val="20"/>
                <w:color w:val="auto"/>
              </w:rPr>
            </w:pPr>
            <w:r>
              <w:rPr>
                <w:rFonts w:ascii="Arial" w:cs="Arial" w:eastAsia="Arial" w:hAnsi="Arial"/>
                <w:sz w:val="18"/>
                <w:szCs w:val="18"/>
                <w:b w:val="1"/>
                <w:bCs w:val="1"/>
                <w:color w:val="auto"/>
              </w:rPr>
              <w:t>Attachment A</w:t>
            </w:r>
          </w:p>
        </w:tc>
        <w:tc>
          <w:tcPr>
            <w:tcW w:w="0" w:type="dxa"/>
            <w:vAlign w:val="bottom"/>
          </w:tcPr>
          <w:p>
            <w:pPr>
              <w:spacing w:after="0"/>
              <w:rPr>
                <w:sz w:val="1"/>
                <w:szCs w:val="1"/>
                <w:color w:val="auto"/>
              </w:rPr>
            </w:pPr>
          </w:p>
        </w:tc>
      </w:tr>
      <w:tr>
        <w:trPr>
          <w:trHeight w:val="247"/>
        </w:trPr>
        <w:tc>
          <w:tcPr>
            <w:tcW w:w="7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320" w:type="dxa"/>
            <w:vAlign w:val="bottom"/>
            <w:gridSpan w:val="2"/>
          </w:tcPr>
          <w:p>
            <w:pPr>
              <w:ind w:left="900"/>
              <w:spacing w:after="0"/>
              <w:rPr>
                <w:sz w:val="20"/>
                <w:szCs w:val="20"/>
                <w:color w:val="auto"/>
              </w:rPr>
            </w:pPr>
            <w:r>
              <w:rPr>
                <w:rFonts w:ascii="Arial" w:cs="Arial" w:eastAsia="Arial" w:hAnsi="Arial"/>
                <w:sz w:val="18"/>
                <w:szCs w:val="18"/>
                <w:b w:val="1"/>
                <w:bCs w:val="1"/>
                <w:color w:val="auto"/>
              </w:rPr>
              <w:t>Compensation Plan and Benefits Package</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7720" w:type="dxa"/>
            <w:vAlign w:val="bottom"/>
            <w:tcBorders>
              <w:bottom w:val="single" w:sz="8" w:color="auto"/>
            </w:tcBorders>
          </w:tcPr>
          <w:p>
            <w:pPr>
              <w:spacing w:after="0"/>
              <w:rPr>
                <w:sz w:val="18"/>
                <w:szCs w:val="18"/>
                <w:color w:val="auto"/>
              </w:rPr>
            </w:pPr>
          </w:p>
        </w:tc>
        <w:tc>
          <w:tcPr>
            <w:tcW w:w="6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Borders>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Title</w:t>
            </w:r>
          </w:p>
        </w:tc>
        <w:tc>
          <w:tcPr>
            <w:tcW w:w="772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Chief Executive Officer</w:t>
            </w: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60" w:type="dxa"/>
            <w:vAlign w:val="bottom"/>
            <w:tcBorders>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ind w:left="120"/>
              <w:spacing w:after="0" w:line="179" w:lineRule="exact"/>
              <w:rPr>
                <w:sz w:val="20"/>
                <w:szCs w:val="20"/>
                <w:color w:val="auto"/>
              </w:rPr>
            </w:pPr>
            <w:r>
              <w:rPr>
                <w:rFonts w:ascii="Arial" w:cs="Arial" w:eastAsia="Arial" w:hAnsi="Arial"/>
                <w:sz w:val="18"/>
                <w:szCs w:val="18"/>
                <w:color w:val="auto"/>
              </w:rPr>
              <w:t>Salary/Wage</w:t>
            </w:r>
          </w:p>
        </w:tc>
        <w:tc>
          <w:tcPr>
            <w:tcW w:w="7720" w:type="dxa"/>
            <w:vAlign w:val="bottom"/>
            <w:tcBorders>
              <w:bottom w:val="single" w:sz="8" w:color="auto"/>
              <w:right w:val="single" w:sz="8" w:color="auto"/>
            </w:tcBorders>
          </w:tcPr>
          <w:p>
            <w:pPr>
              <w:ind w:left="80"/>
              <w:spacing w:after="0" w:line="179" w:lineRule="exact"/>
              <w:rPr>
                <w:sz w:val="20"/>
                <w:szCs w:val="20"/>
                <w:color w:val="auto"/>
              </w:rPr>
            </w:pPr>
            <w:r>
              <w:rPr>
                <w:rFonts w:ascii="Arial" w:cs="Arial" w:eastAsia="Arial" w:hAnsi="Arial"/>
                <w:sz w:val="18"/>
                <w:szCs w:val="18"/>
                <w:color w:val="auto"/>
              </w:rPr>
              <w:t>$730,000 per annum</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Borders>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Location</w:t>
            </w:r>
          </w:p>
        </w:tc>
        <w:tc>
          <w:tcPr>
            <w:tcW w:w="772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Hybrid, San Jose, CA</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Borders>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Status</w:t>
            </w:r>
          </w:p>
        </w:tc>
        <w:tc>
          <w:tcPr>
            <w:tcW w:w="772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Full-time Regular Exempt</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6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ind w:left="120"/>
              <w:spacing w:after="0" w:line="177" w:lineRule="exact"/>
              <w:rPr>
                <w:sz w:val="20"/>
                <w:szCs w:val="20"/>
                <w:color w:val="auto"/>
              </w:rPr>
            </w:pPr>
            <w:r>
              <w:rPr>
                <w:rFonts w:ascii="Arial" w:cs="Arial" w:eastAsia="Arial" w:hAnsi="Arial"/>
                <w:sz w:val="18"/>
                <w:szCs w:val="18"/>
                <w:color w:val="auto"/>
              </w:rPr>
              <w:t>Incentive</w:t>
            </w:r>
          </w:p>
        </w:tc>
        <w:tc>
          <w:tcPr>
            <w:tcW w:w="772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Target of 100</w:t>
            </w:r>
            <w:r>
              <w:rPr>
                <w:rFonts w:ascii="Arial" w:cs="Arial" w:eastAsia="Arial" w:hAnsi="Arial"/>
                <w:sz w:val="18"/>
                <w:szCs w:val="18"/>
                <w:b w:val="1"/>
                <w:bCs w:val="1"/>
                <w:color w:val="auto"/>
              </w:rPr>
              <w:t>%</w:t>
            </w:r>
            <w:r>
              <w:rPr>
                <w:rFonts w:ascii="Arial" w:cs="Arial" w:eastAsia="Arial" w:hAnsi="Arial"/>
                <w:sz w:val="18"/>
                <w:szCs w:val="18"/>
                <w:color w:val="auto"/>
              </w:rPr>
              <w:t xml:space="preserve"> of base salary with the bonus amount based upon the Company’s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Compensation Plan</w:t>
            </w: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achievement of its financial objectives and upon the achievement of individual objectives in</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(“ICP”)</w:t>
            </w:r>
          </w:p>
        </w:tc>
        <w:tc>
          <w:tcPr>
            <w:tcW w:w="7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accordance with the ICP.</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7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For 2026, the bonus amount will be prorated from your Start Date.</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760" w:type="dxa"/>
            <w:vAlign w:val="bottom"/>
            <w:tcBorders>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right w:val="single" w:sz="8" w:color="auto"/>
            </w:tcBorders>
          </w:tcPr>
          <w:p>
            <w:pPr>
              <w:spacing w:after="0"/>
              <w:rPr>
                <w:sz w:val="24"/>
                <w:szCs w:val="24"/>
                <w:color w:val="auto"/>
              </w:rPr>
            </w:pPr>
          </w:p>
        </w:tc>
        <w:tc>
          <w:tcPr>
            <w:tcW w:w="6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6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ind w:left="120"/>
              <w:spacing w:after="0" w:line="177" w:lineRule="exact"/>
              <w:rPr>
                <w:sz w:val="20"/>
                <w:szCs w:val="20"/>
                <w:color w:val="auto"/>
              </w:rPr>
            </w:pPr>
            <w:r>
              <w:rPr>
                <w:rFonts w:ascii="Arial" w:cs="Arial" w:eastAsia="Arial" w:hAnsi="Arial"/>
                <w:sz w:val="18"/>
                <w:szCs w:val="18"/>
                <w:color w:val="auto"/>
              </w:rPr>
              <w:t>Benefits</w:t>
            </w:r>
          </w:p>
        </w:tc>
        <w:tc>
          <w:tcPr>
            <w:tcW w:w="772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When you join Adeia, you will be eligible to participate in certain benefit plans and programs</w:t>
            </w: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that are generally afforded to U.S. Adeia employees and executives (including medical, dental,</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vision, 401(k), and life insurance), in accordance with and subject to the terms and conditions</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applicable to those plans and programs. All benefit plans and programs to which you are</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eligible to participate (and the policies associated therewith) may be modified, supplemented,</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changed or terminated (including with prospective effect) at any time. Some or all of these</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plans may require contributions from you and may also be subject to waiting periods for new</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employees. The People Team will provide you with details of the plans and programs to</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which you are eligible on or prior to your start date and you will be able to select benefits</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60" w:type="dxa"/>
            <w:vAlign w:val="bottom"/>
            <w:tcBorders>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7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during your first 30 days of employment.</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6"/>
        </w:trPr>
        <w:tc>
          <w:tcPr>
            <w:tcW w:w="7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0"/>
        </w:trPr>
        <w:tc>
          <w:tcPr>
            <w:tcW w:w="760" w:type="dxa"/>
            <w:vAlign w:val="bottom"/>
            <w:tcBorders>
              <w:right w:val="single" w:sz="8" w:color="auto"/>
            </w:tcBorders>
          </w:tcPr>
          <w:p>
            <w:pPr>
              <w:spacing w:after="0"/>
              <w:rPr>
                <w:sz w:val="17"/>
                <w:szCs w:val="17"/>
                <w:color w:val="auto"/>
              </w:rPr>
            </w:pPr>
          </w:p>
        </w:tc>
        <w:tc>
          <w:tcPr>
            <w:tcW w:w="2160" w:type="dxa"/>
            <w:vAlign w:val="bottom"/>
            <w:tcBorders>
              <w:top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Equity Awards</w:t>
            </w:r>
          </w:p>
        </w:tc>
        <w:tc>
          <w:tcPr>
            <w:tcW w:w="7720" w:type="dxa"/>
            <w:vAlign w:val="bottom"/>
            <w:tcBorders>
              <w:top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You will be granted new hire equity awards under Adeia’s Amended and Restated 2020 Equity</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7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Incentive Plan with a target grant value of $11,000,000.</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7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new hire equity awards will be issued as two grants: (i) a new hire restricted stock unit</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(“RSU”) award with a grant date value of $4,400,000, which shall be composed entirely of</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time-based RSU shares (vesting over four years per the Company’s standard vesting terms),</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and (ii) a performance-based RSU (“PRSU”) award with a target grant date value of</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$6,600,000 (vesting based on terms and conditions described below). The grant date of the</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new hire equity awards shall be your Start Date. In order to vest a portion of an award on a</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7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given vesting date, you must be employed by Adeia on such vesting date.</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7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amount of shares subject to the new hire RSUs and the target amount of shares subject</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 the new hire PRSUs will be determined based upon the average closing price of Adeia</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common stock for the 30 trading day period ending on the last trading day before the grant</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date, rounded up or down to the nearest 10 shares and such new hire equity awards will vest</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 accordance with the terms and conditions of the applicable grant notice and agreement,</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7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which will be delivered under separate cover.</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7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new hire PRSUs will be earned based on the Company's EBITDA (excluding litigation)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achievement measured annually over a three-year performance period commencing on your</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employment start date, with each calendar year during the performance period having earned</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shares banked at 0% (below threshold), 50% (threshold), 100% (target) or 200% (maximum)</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of that calendar year's target banking opportunity (using linear interpolation between those</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points and prorated as applicable for partial calendar years 2026 and 2029 that occur during</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performance period), and the aggregate banked shares further adjusted, up or down, by</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up to 33% based on the Company's relative total shareholder return (rTSR) over the</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performance period, subject to an overall payout range of 0% to 200% of target. Shares</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banked in respect of each performance year will not vest until the end of the three-year</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performance period, at which time all banked (and rTSR-adjusted) shares will vest, if at all, in</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 single vesting event, subject to continued employment through the vesting date and</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7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certification by the Compensation Committee.</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7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You will also be eligible to receive Adeia’s next annual merit/refresh equity grant in 2027,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7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consistent with Adeia’s practice for other senior executives.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60" w:type="dxa"/>
            <w:vAlign w:val="bottom"/>
            <w:tcBorders>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7720" w:type="dxa"/>
            <w:vAlign w:val="bottom"/>
            <w:tcBorders>
              <w:bottom w:val="single" w:sz="8" w:color="auto"/>
              <w:right w:val="single" w:sz="8" w:color="auto"/>
            </w:tcBorders>
          </w:tcPr>
          <w:p>
            <w:pPr>
              <w:spacing w:after="0"/>
              <w:rPr>
                <w:sz w:val="19"/>
                <w:szCs w:val="19"/>
                <w:color w:val="auto"/>
              </w:rPr>
            </w:pPr>
          </w:p>
        </w:tc>
        <w:tc>
          <w:tcPr>
            <w:tcW w:w="6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7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120"/>
              <w:spacing w:after="0" w:line="141" w:lineRule="exact"/>
              <w:rPr>
                <w:sz w:val="20"/>
                <w:szCs w:val="20"/>
                <w:color w:val="auto"/>
              </w:rPr>
            </w:pPr>
            <w:r>
              <w:rPr>
                <w:rFonts w:ascii="Arial" w:cs="Arial" w:eastAsia="Arial" w:hAnsi="Arial"/>
                <w:sz w:val="16"/>
                <w:szCs w:val="16"/>
                <w:color w:val="auto"/>
              </w:rPr>
              <w:t>Severance</w:t>
            </w:r>
          </w:p>
        </w:tc>
        <w:tc>
          <w:tcPr>
            <w:tcW w:w="7720" w:type="dxa"/>
            <w:vAlign w:val="bottom"/>
            <w:tcBorders>
              <w:right w:val="single" w:sz="8" w:color="auto"/>
            </w:tcBorders>
          </w:tcPr>
          <w:p>
            <w:pPr>
              <w:ind w:left="80"/>
              <w:spacing w:after="0" w:line="141" w:lineRule="exact"/>
              <w:rPr>
                <w:sz w:val="20"/>
                <w:szCs w:val="20"/>
                <w:color w:val="auto"/>
              </w:rPr>
            </w:pPr>
            <w:r>
              <w:rPr>
                <w:rFonts w:ascii="Arial" w:cs="Arial" w:eastAsia="Arial" w:hAnsi="Arial"/>
                <w:sz w:val="16"/>
                <w:szCs w:val="16"/>
                <w:color w:val="auto"/>
              </w:rPr>
              <w:t>You will enter into a CEO severance agreement, including any customary attachments, in a</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7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7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form acceptable to Adeia.</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760" w:type="dxa"/>
            <w:vAlign w:val="bottom"/>
            <w:tcBorders>
              <w:right w:val="single" w:sz="8" w:color="auto"/>
            </w:tcBorders>
          </w:tcPr>
          <w:p>
            <w:pPr>
              <w:spacing w:after="0"/>
              <w:rPr>
                <w:sz w:val="16"/>
                <w:szCs w:val="16"/>
                <w:color w:val="auto"/>
              </w:rPr>
            </w:pPr>
          </w:p>
        </w:tc>
        <w:tc>
          <w:tcPr>
            <w:tcW w:w="2160" w:type="dxa"/>
            <w:vAlign w:val="bottom"/>
            <w:tcBorders>
              <w:bottom w:val="single" w:sz="8" w:color="auto"/>
              <w:right w:val="single" w:sz="8" w:color="auto"/>
            </w:tcBorders>
          </w:tcPr>
          <w:p>
            <w:pPr>
              <w:spacing w:after="0"/>
              <w:rPr>
                <w:sz w:val="16"/>
                <w:szCs w:val="16"/>
                <w:color w:val="auto"/>
              </w:rPr>
            </w:pPr>
          </w:p>
        </w:tc>
        <w:tc>
          <w:tcPr>
            <w:tcW w:w="7720" w:type="dxa"/>
            <w:vAlign w:val="bottom"/>
            <w:tcBorders>
              <w:bottom w:val="single" w:sz="8" w:color="auto"/>
              <w:right w:val="single" w:sz="8" w:color="auto"/>
            </w:tcBorders>
          </w:tcPr>
          <w:p>
            <w:pPr>
              <w:spacing w:after="0"/>
              <w:rPr>
                <w:sz w:val="16"/>
                <w:szCs w:val="16"/>
                <w:color w:val="auto"/>
              </w:rPr>
            </w:pPr>
          </w:p>
        </w:tc>
        <w:tc>
          <w:tcPr>
            <w:tcW w:w="6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6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ind w:left="120"/>
              <w:spacing w:after="0" w:line="177" w:lineRule="exact"/>
              <w:rPr>
                <w:sz w:val="20"/>
                <w:szCs w:val="20"/>
                <w:color w:val="auto"/>
              </w:rPr>
            </w:pPr>
            <w:r>
              <w:rPr>
                <w:rFonts w:ascii="Arial" w:cs="Arial" w:eastAsia="Arial" w:hAnsi="Arial"/>
                <w:sz w:val="18"/>
                <w:szCs w:val="18"/>
                <w:color w:val="auto"/>
              </w:rPr>
              <w:t>Legal Expenses</w:t>
            </w:r>
          </w:p>
        </w:tc>
        <w:tc>
          <w:tcPr>
            <w:tcW w:w="772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The Company agrees to reimburse up to $20,000 of your out-of-pocket legal expenses</w:t>
            </w: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7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incurred in connection with the evaluation and consideration of your employment with the</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7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Company.</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760" w:type="dxa"/>
            <w:vAlign w:val="bottom"/>
            <w:tcBorders>
              <w:right w:val="single" w:sz="8" w:color="auto"/>
            </w:tcBorders>
          </w:tcPr>
          <w:p>
            <w:pPr>
              <w:spacing w:after="0"/>
              <w:rPr>
                <w:sz w:val="16"/>
                <w:szCs w:val="16"/>
                <w:color w:val="auto"/>
              </w:rPr>
            </w:pPr>
          </w:p>
        </w:tc>
        <w:tc>
          <w:tcPr>
            <w:tcW w:w="2160" w:type="dxa"/>
            <w:vAlign w:val="bottom"/>
            <w:tcBorders>
              <w:bottom w:val="single" w:sz="8" w:color="auto"/>
              <w:right w:val="single" w:sz="8" w:color="auto"/>
            </w:tcBorders>
          </w:tcPr>
          <w:p>
            <w:pPr>
              <w:spacing w:after="0"/>
              <w:rPr>
                <w:sz w:val="16"/>
                <w:szCs w:val="16"/>
                <w:color w:val="auto"/>
              </w:rPr>
            </w:pPr>
          </w:p>
        </w:tc>
        <w:tc>
          <w:tcPr>
            <w:tcW w:w="7720" w:type="dxa"/>
            <w:vAlign w:val="bottom"/>
            <w:tcBorders>
              <w:bottom w:val="single" w:sz="8" w:color="auto"/>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5"/>
        </w:trPr>
        <w:tc>
          <w:tcPr>
            <w:tcW w:w="7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7" w:name="page88"/>
    <w:bookmarkEnd w:id="87"/>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Adeia Consulting Agreement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Paul E. Davis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3025 Orchard Parkway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Jose, CA 95134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September 25, 2026</w:t>
      </w:r>
    </w:p>
    <w:p>
      <w:pPr>
        <w:spacing w:after="0" w:line="109" w:lineRule="exact"/>
        <w:rPr>
          <w:sz w:val="20"/>
          <w:szCs w:val="20"/>
          <w:color w:val="auto"/>
        </w:rPr>
      </w:pPr>
    </w:p>
    <w:p>
      <w:pPr>
        <w:sectPr>
          <w:pgSz w:w="11900" w:h="16838" w:orient="portrait"/>
          <w:cols w:equalWidth="0" w:num="2">
            <w:col w:w="3240" w:space="720"/>
            <w:col w:w="728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Dear Mr. Davis:</w:t>
      </w:r>
    </w:p>
    <w:p>
      <w:pPr>
        <w:sectPr>
          <w:pgSz w:w="11900" w:h="16838" w:orient="portrait"/>
          <w:cols w:equalWidth="0" w:num="1">
            <w:col w:w="11240"/>
          </w:cols>
          <w:pgMar w:left="320" w:top="1440" w:right="339" w:bottom="1440" w:gutter="0" w:footer="0" w:header="0"/>
          <w:type w:val="continuous"/>
        </w:sectPr>
      </w:pPr>
    </w:p>
    <w:p>
      <w:pPr>
        <w:spacing w:after="0" w:line="110" w:lineRule="exact"/>
        <w:rPr>
          <w:sz w:val="20"/>
          <w:szCs w:val="20"/>
          <w:color w:val="auto"/>
        </w:rPr>
      </w:pPr>
    </w:p>
    <w:p>
      <w:pPr>
        <w:jc w:val="both"/>
        <w:ind w:firstLine="8"/>
        <w:spacing w:after="0" w:line="236" w:lineRule="auto"/>
        <w:tabs>
          <w:tab w:leader="none" w:pos="50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Adeia Guides Inc., its successors and assigns (hereinafter, together with its affiliates, “Adeia” or the “Company”), a Delaware corporation having a place of business at 3025 Orchard Parkway, San Jose, California 95134, wishes to retain you (hereinafter “Consultant,” “you” or “your”) to provide transition consulting services as an independent contractor following the conclusion of your employment with the Company. You desire to provide those services on the terms set forth below. The initial services are described in SOW #1 attached hereto (the “Transition Services”). This letter and any SOWs constitute the agreement between you and the Company (the “Agreement”) concerning the consulting services you provide.</w:t>
      </w:r>
    </w:p>
    <w:p>
      <w:pPr>
        <w:spacing w:after="0" w:line="73" w:lineRule="exact"/>
        <w:rPr>
          <w:rFonts w:ascii="Times New Roman" w:cs="Times New Roman" w:eastAsia="Times New Roman" w:hAnsi="Times New Roman"/>
          <w:sz w:val="22"/>
          <w:szCs w:val="22"/>
          <w:color w:val="auto"/>
        </w:rPr>
      </w:pPr>
    </w:p>
    <w:p>
      <w:pPr>
        <w:jc w:val="both"/>
        <w:ind w:firstLine="8"/>
        <w:spacing w:after="0" w:line="235" w:lineRule="auto"/>
        <w:tabs>
          <w:tab w:leader="none" w:pos="50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this Agreement (the “Term”) begins October 12, 2026 (the “Effective Date”), which shall be the same date on which you resign as Chief Executive Officer and cease to be an employee of the Company, and continues through December 31, 2026, unless earlier terminated under this Section. The Agreement will expire automatically on December 31, 2026, and will not renew unless otherwise agreed to in writing by the parties. The Company may terminate this Agreement or any SOW upon thirty (30) days’ written notice to Consultant. You may terminate this Agreement upon thirty (30) days’ written notice to the Company. Any SOW in effect when this Agreement terminates or expires will terminate at the same time. Upon an early termination, the Company will pay all fees in full, and any properly approved reimbursable expenses, in each case subject to the terms of this Agreement.</w:t>
      </w:r>
    </w:p>
    <w:p>
      <w:pPr>
        <w:spacing w:after="0" w:line="205" w:lineRule="exact"/>
        <w:rPr>
          <w:rFonts w:ascii="Times New Roman" w:cs="Times New Roman" w:eastAsia="Times New Roman" w:hAnsi="Times New Roman"/>
          <w:sz w:val="22"/>
          <w:szCs w:val="22"/>
          <w:color w:val="auto"/>
        </w:rPr>
      </w:pPr>
    </w:p>
    <w:p>
      <w:pPr>
        <w:ind w:firstLine="8"/>
        <w:spacing w:after="0" w:line="258" w:lineRule="auto"/>
        <w:tabs>
          <w:tab w:leader="none" w:pos="50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consideration for your services and reasonable availability during the Term, you will be paid the fixed fee set forth in SOW #1, in accordance with the payment terms in that SOW.</w:t>
      </w:r>
    </w:p>
    <w:p>
      <w:pPr>
        <w:spacing w:after="0" w:line="50" w:lineRule="exact"/>
        <w:rPr>
          <w:rFonts w:ascii="Times New Roman" w:cs="Times New Roman" w:eastAsia="Times New Roman" w:hAnsi="Times New Roman"/>
          <w:sz w:val="22"/>
          <w:szCs w:val="22"/>
          <w:color w:val="auto"/>
        </w:rPr>
      </w:pPr>
    </w:p>
    <w:p>
      <w:pPr>
        <w:jc w:val="both"/>
        <w:ind w:firstLine="8"/>
        <w:spacing w:after="0" w:line="239" w:lineRule="auto"/>
        <w:tabs>
          <w:tab w:leader="none" w:pos="50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According to the nature of the Transition Services, you may be reimbursed for reasonable travel and other out-of-pocket expenses actually incurred by you in connection with your services under this Agreement, provided that you must obtain prior approval of a the Chief Legal Officer or the Chief Financial Officer for such expenses, and provided that you submit proper receipts for reimbursement. Reimbursement will not be allowed for expenses incurred without prior approval.</w:t>
      </w:r>
    </w:p>
    <w:p>
      <w:pPr>
        <w:spacing w:after="0" w:line="72" w:lineRule="exact"/>
        <w:rPr>
          <w:rFonts w:ascii="Times New Roman" w:cs="Times New Roman" w:eastAsia="Times New Roman" w:hAnsi="Times New Roman"/>
          <w:sz w:val="22"/>
          <w:szCs w:val="22"/>
          <w:color w:val="auto"/>
        </w:rPr>
      </w:pPr>
    </w:p>
    <w:p>
      <w:pPr>
        <w:jc w:val="both"/>
        <w:ind w:firstLine="8"/>
        <w:spacing w:after="0" w:line="236" w:lineRule="auto"/>
        <w:tabs>
          <w:tab w:leader="none" w:pos="50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relationship with the Company under this Agreement is solely that of an independent contractor and not an employee, officer, director, agent, partner or joint venturer. Except for the COBRA premium payments expressly provided in SOW #1, you will not be eligible for employee benefits based on the consulting services, and the Company will not withhold payroll taxes from consulting payments. You are solely responsible for all federal, state and local taxes and other legally required payments arising from the consulting fees. Nothing in this Agreement authorizes you to represent that you remain the Company’s Chief Executive Officer or an employee after the Effective Date.</w:t>
      </w:r>
    </w:p>
    <w:p>
      <w:pPr>
        <w:spacing w:after="0" w:line="73" w:lineRule="exact"/>
        <w:rPr>
          <w:rFonts w:ascii="Times New Roman" w:cs="Times New Roman" w:eastAsia="Times New Roman" w:hAnsi="Times New Roman"/>
          <w:sz w:val="22"/>
          <w:szCs w:val="22"/>
          <w:color w:val="auto"/>
        </w:rPr>
      </w:pPr>
    </w:p>
    <w:p>
      <w:pPr>
        <w:jc w:val="both"/>
        <w:ind w:firstLine="8"/>
        <w:spacing w:after="0" w:line="244" w:lineRule="auto"/>
        <w:tabs>
          <w:tab w:leader="none" w:pos="50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an independent Consultant, you shall have no authority to enter into contracts which bind the Company or create obligations on the part of the Company without the express prior written authorization of the Company. Such authorization must be signed by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937895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8" w:name="page89"/>
    <w:bookmarkEnd w:id="88"/>
    <w:p>
      <w:pPr>
        <w:jc w:val="both"/>
        <w:ind w:firstLine="509"/>
        <w:spacing w:after="0" w:line="235" w:lineRule="auto"/>
        <w:rPr>
          <w:sz w:val="20"/>
          <w:szCs w:val="20"/>
          <w:color w:val="auto"/>
        </w:rPr>
      </w:pPr>
      <w:r>
        <w:rPr>
          <w:rFonts w:ascii="Times New Roman" w:cs="Times New Roman" w:eastAsia="Times New Roman" w:hAnsi="Times New Roman"/>
          <w:sz w:val="22"/>
          <w:szCs w:val="22"/>
          <w:color w:val="auto"/>
        </w:rPr>
        <w:t>representative in accordance with the Company’s signature and authorization policy. In addition, as an independent Consultant, you may establish your own work schedule, consistent with the needs of the Transition Services. You may determine the location where you perform services under this Agreement, consistent with the timeliness and cost-effectiveness of completing the Transition Services. If you desire to perform some part of the services on the Company’s premises, Company will make the appropriate arrangements to accommodate such needs. At times that you may work in the Company’s premises and use Company’s furniture and equipment to facilitate the completion of the Transition Services, such should not be construed as a condition for employment as an employee.</w:t>
      </w:r>
    </w:p>
    <w:p>
      <w:pPr>
        <w:spacing w:after="0" w:line="75" w:lineRule="exact"/>
        <w:rPr>
          <w:sz w:val="20"/>
          <w:szCs w:val="20"/>
          <w:color w:val="auto"/>
        </w:rPr>
      </w:pPr>
    </w:p>
    <w:p>
      <w:pPr>
        <w:jc w:val="both"/>
        <w:ind w:firstLine="8"/>
        <w:spacing w:after="0" w:line="247" w:lineRule="auto"/>
        <w:tabs>
          <w:tab w:leader="none" w:pos="509"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employment with the Company and service as its Chief Executive Officer will end immediately before this Agreement becomes effective. Consulting service under this Agreement will not constitute employment or “Continuous Service” (or any similar term) for purposes of any equity incentive plan, award agreement, benefit plan or other compensatory arrangement. No equity award will vest or continue to vest because of this Agreement or the services performed under it. Effective upon the termination of your employment, you will forfeit and surrender all then-unvested equity awards and all rights relating to those unvested awards, without consideration, in accordance with the applicable equity plans and award agreements. Except for the treatment of unvested equity expressly stated in this Section, this Agreement does not amend or supersede any equity plan or award agreement or alter any rights relating to equity that was vested as of the termination of your employment.</w:t>
      </w:r>
    </w:p>
    <w:p>
      <w:pPr>
        <w:spacing w:after="0" w:line="63" w:lineRule="exact"/>
        <w:rPr>
          <w:rFonts w:ascii="Times New Roman" w:cs="Times New Roman" w:eastAsia="Times New Roman" w:hAnsi="Times New Roman"/>
          <w:sz w:val="21"/>
          <w:szCs w:val="21"/>
          <w:color w:val="auto"/>
        </w:rPr>
      </w:pPr>
    </w:p>
    <w:p>
      <w:pPr>
        <w:ind w:firstLine="8"/>
        <w:spacing w:after="0" w:line="258" w:lineRule="auto"/>
        <w:tabs>
          <w:tab w:leader="none" w:pos="50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selected you to provide consulting services based upon your experience and expertise and, accordingly, does not anticipate providing you training or detailed instructions on all aspects of performing such services.</w:t>
      </w:r>
    </w:p>
    <w:p>
      <w:pPr>
        <w:spacing w:after="0" w:line="50" w:lineRule="exact"/>
        <w:rPr>
          <w:rFonts w:ascii="Times New Roman" w:cs="Times New Roman" w:eastAsia="Times New Roman" w:hAnsi="Times New Roman"/>
          <w:sz w:val="22"/>
          <w:szCs w:val="22"/>
          <w:color w:val="auto"/>
        </w:rPr>
      </w:pPr>
    </w:p>
    <w:p>
      <w:pPr>
        <w:jc w:val="both"/>
        <w:ind w:firstLine="8"/>
        <w:spacing w:after="0" w:line="239" w:lineRule="auto"/>
        <w:tabs>
          <w:tab w:leader="none" w:pos="50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confirm that you are providing services as an independent contractor and that the Tax Identification Number supplied by you is correct for tax-reporting purposes. You will maintain any workers’ compensation or other insurance coverage required by applicable law for your activities under this Agreement. The Company is not responsible for your tax, insurance or similar obligations as an independent contractor.</w:t>
      </w:r>
    </w:p>
    <w:p>
      <w:pPr>
        <w:spacing w:after="0" w:line="72" w:lineRule="exact"/>
        <w:rPr>
          <w:rFonts w:ascii="Times New Roman" w:cs="Times New Roman" w:eastAsia="Times New Roman" w:hAnsi="Times New Roman"/>
          <w:sz w:val="22"/>
          <w:szCs w:val="22"/>
          <w:color w:val="auto"/>
        </w:rPr>
      </w:pPr>
    </w:p>
    <w:p>
      <w:pPr>
        <w:jc w:val="both"/>
        <w:ind w:firstLine="8"/>
        <w:spacing w:after="0" w:line="233" w:lineRule="auto"/>
        <w:tabs>
          <w:tab w:leader="none" w:pos="50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shall keep in confidence and shall not disclose or make available to third parties or make any use of any information or documents relating to your services under this Agreement or to the products, methods of manufacture, trade secrets, processes, business practices, vendor or customer lists, or confidential or proprietary information of the Company (other than information already in the public domain), except with the prior written consent of the Company. You recognize that the Company has received and, in the future, will receive from third parties their confidential or proprietary information subject to a duty on the Company’s part to maintain the confidentiality of such information and to use it only for certain limited purposes. You agree that you owe the Company and such third parties, during the Term of this Agreement and thereafter, a duty to hold all such confidential or proprietary information in the strictest confidence and not to disclose it to any person, firm or corporation or to use it except as necessary in connection with the Transition Services consistent with the Company’s agreement with such third party. Upon termination of this Agreement, you will return to the Company all documents, or other materials related to the services provided hereunder or furnished to you by the Company. Your obligations under this Section 10 shall survive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9" w:name="page90"/>
    <w:bookmarkEnd w:id="89"/>
    <w:p>
      <w:pPr>
        <w:spacing w:after="0" w:line="77" w:lineRule="exact"/>
        <w:rPr>
          <w:sz w:val="20"/>
          <w:szCs w:val="20"/>
          <w:color w:val="auto"/>
        </w:rPr>
      </w:pPr>
    </w:p>
    <w:p>
      <w:pPr>
        <w:jc w:val="both"/>
        <w:ind w:left="-8" w:firstLine="8"/>
        <w:spacing w:after="0" w:line="235" w:lineRule="auto"/>
        <w:tabs>
          <w:tab w:leader="none" w:pos="50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an independent Consultant, you will have all the necessary expertise of your own to complete the Transition Services. You agree and represent that you will not use, copy, or otherwise incorporate any proprietary information of third parties to complete the Transition Services. The Company will not authorize the use of third parties’ confidential and proprietary information. Provided, however, Consultant may be in possession of information made available or developed in contexts other than his/her performance of the Transition Services. Consultant represents and warrants that all information disclosed by Consultant may be used by Company without restriction. Consultant will not disclose to Company any information of third parties that Consultant knows, suspects or is reasonably expected to know is confidential or proprietary.</w:t>
      </w:r>
    </w:p>
    <w:p>
      <w:pPr>
        <w:spacing w:after="0" w:line="75" w:lineRule="exact"/>
        <w:rPr>
          <w:rFonts w:ascii="Times New Roman" w:cs="Times New Roman" w:eastAsia="Times New Roman" w:hAnsi="Times New Roman"/>
          <w:sz w:val="22"/>
          <w:szCs w:val="22"/>
          <w:color w:val="auto"/>
        </w:rPr>
      </w:pPr>
    </w:p>
    <w:p>
      <w:pPr>
        <w:jc w:val="both"/>
        <w:ind w:left="-8" w:firstLine="8"/>
        <w:spacing w:after="0" w:line="243" w:lineRule="auto"/>
        <w:tabs>
          <w:tab w:leader="none" w:pos="50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shall promptly disclose and hereby transfer and assign to the Company all right, title and interest to all techniques, methods, processes, formulae, improvements, inventions and discoveries (collectively, the “Inventions”) made or conceived or reduced to practice by you, solely or jointly with others, in the course of providing services hereunder or with the use of materials or facilities of the Company during the period of this Agreement or which relate to the Company’s business or its actual or demonstrably anticipated research or development (except as otherwise provided below) and agree that the Inventions are the sole property of the Company. When requested by the Company you will make available to the Company all notes, drawings, data and other information relating to the Inventions. You will promptly sign any document (including U.S. and Foreign Patent Assignments) requested by the Company related to the above assignment of the Inventions. Any Inventions that constitute copyrightable subject matter shall be considered “works made for hire” as that term is defined in the United States Copyright Act. You agree to assist the Company, or its designee, at the Company’s expense, in every proper way to secure the Company’s rights in the above any copyrights, patents, mask work rights or other intellectual property rights relating to the Inventions in any and all countries, including the disclosure to the Company of all pertinent information and data with respect thereto, the execution of all applications, specifications, oaths, assignments and all other instruments which the Company shall deem necessary in order to apply for and obtain such rights and in order to assign and convey to the Company, its successors, assigns and nominees the sole and exclusive rights, title and interest in and to the Inventions, and any copyrights, patents, mask work rights or other intellectual property rights relating thereto. You agree that if the Company is unable because of your unavailability, dissolution, mental or physical incapacity, or for any other reason, to secure your signature to apply for or to pursue any application for any United States or foreign patents or mask work or copyright registrations covering any Inventions assigned to the Company above, then you hereby irrevocably designate and appoint the Company and its duly authorized officers and agents as your agent and attorney in fact, to act for and in your behalf and stead to execute and file any such applications and to do all other lawfully permitted acts to further the prosecution and issuance of patents, copyright and mask work registrations thereon with the same legal force and effect as if executed by you. This Agreement does not apply to Inventions which were made prior to the date of this Agreement.</w:t>
      </w:r>
    </w:p>
    <w:p>
      <w:pPr>
        <w:spacing w:after="0" w:line="74" w:lineRule="exact"/>
        <w:rPr>
          <w:rFonts w:ascii="Times New Roman" w:cs="Times New Roman" w:eastAsia="Times New Roman" w:hAnsi="Times New Roman"/>
          <w:sz w:val="21"/>
          <w:szCs w:val="21"/>
          <w:color w:val="auto"/>
        </w:rPr>
      </w:pPr>
    </w:p>
    <w:p>
      <w:pPr>
        <w:jc w:val="both"/>
        <w:ind w:left="-8" w:firstLine="8"/>
        <w:spacing w:after="0" w:line="239" w:lineRule="auto"/>
        <w:tabs>
          <w:tab w:leader="none" w:pos="50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if in the course of performing the Transition Services you incorporate into any invention, improvement, development, concept, discovery or other proprietary information owned by you or in which you have an interest, the Company is hereby granted and shall have a nonexclusive, sublicensable, royalty-free, perpetual, irrevocable, worldwide license to make, have made, modify, use and sell such item as part of or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942340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90" w:name="page91"/>
    <w:bookmarkEnd w:id="90"/>
    <w:p>
      <w:pPr>
        <w:spacing w:after="0" w:line="77" w:lineRule="exact"/>
        <w:rPr>
          <w:sz w:val="20"/>
          <w:szCs w:val="20"/>
          <w:color w:val="auto"/>
        </w:rPr>
      </w:pPr>
    </w:p>
    <w:p>
      <w:pPr>
        <w:jc w:val="both"/>
        <w:ind w:left="-8" w:firstLine="8"/>
        <w:spacing w:after="0" w:line="234" w:lineRule="auto"/>
        <w:tabs>
          <w:tab w:leader="none" w:pos="50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understands that you do not presently perform or intend to perform, during the Term of this Agreement, consulting or other services for companies whose business or proposed businesses in any way involve the design or use of products that would be competitive with the products or proposed products of the Company. If, however, you decide to do so within the consulting period of this Agreement, you agree to notify the Company in writing in advance (specifying the organization with which you propose to consult) and provide general, but not confidential, information sufficient to allow the Company to determine if such consulting would conflict with areas of interest to the Company or further services which the Company might request of you pursuant to this Agreement. This provision does not restrict you from providing consulting services to companies whose businesses do not involve the design or use of such competitive products or conflict with the Company’s other business activities.</w:t>
      </w:r>
    </w:p>
    <w:p>
      <w:pPr>
        <w:spacing w:after="0" w:line="75" w:lineRule="exact"/>
        <w:rPr>
          <w:rFonts w:ascii="Times New Roman" w:cs="Times New Roman" w:eastAsia="Times New Roman" w:hAnsi="Times New Roman"/>
          <w:sz w:val="22"/>
          <w:szCs w:val="22"/>
          <w:color w:val="auto"/>
        </w:rPr>
      </w:pPr>
    </w:p>
    <w:p>
      <w:pPr>
        <w:jc w:val="both"/>
        <w:ind w:left="-8" w:firstLine="8"/>
        <w:spacing w:after="0" w:line="235" w:lineRule="auto"/>
        <w:tabs>
          <w:tab w:leader="none" w:pos="50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shall defend, indemnify, and hold harmless Adeia, its officers, directors, employees, and successors from and against any claims, damages, losses, costs, and expenses (including reasonable attorneys’ fees) directly attributable to any claim that the Services or Deliverables, or Adeia’s use thereof in accordance with this Agreement, infringe or misappropriate any third-party intellectual property right; provided that Consultant has no indemnification obligation to the extent such infringement results from (i) modifications to the Deliverables made by Adeia without Consultant’s consent, (ii) combination of the Deliverables with materials not provided or approved by Consultant, or (iii) anything arising or related to Consultant’s prior employment with the Company.</w:t>
      </w:r>
    </w:p>
    <w:p>
      <w:pPr>
        <w:spacing w:after="0" w:line="75" w:lineRule="exact"/>
        <w:rPr>
          <w:rFonts w:ascii="Times New Roman" w:cs="Times New Roman" w:eastAsia="Times New Roman" w:hAnsi="Times New Roman"/>
          <w:sz w:val="22"/>
          <w:szCs w:val="22"/>
          <w:color w:val="auto"/>
        </w:rPr>
      </w:pPr>
    </w:p>
    <w:p>
      <w:pPr>
        <w:ind w:left="512" w:hanging="512"/>
        <w:spacing w:after="0"/>
        <w:tabs>
          <w:tab w:leader="none" w:pos="51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to this Agreement must be in writing signed by you and the Company.</w:t>
      </w:r>
    </w:p>
    <w:p>
      <w:pPr>
        <w:spacing w:after="0" w:line="98"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50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notices, requests or other communications called for by this Agreement shall be deemed to have been given if made via electronic mail, or in writing and mailed, postage prepaid, if to you at the address or email address set forth above and if to the Company at the principal office shown above, to </w:t>
      </w:r>
      <w:r>
        <w:rPr>
          <w:rFonts w:ascii="Times New Roman" w:cs="Times New Roman" w:eastAsia="Times New Roman" w:hAnsi="Times New Roman"/>
          <w:sz w:val="22"/>
          <w:szCs w:val="22"/>
          <w:color w:val="0563C1"/>
        </w:rPr>
        <w:t>legal.notices@adeia.com</w:t>
      </w:r>
      <w:r>
        <w:rPr>
          <w:rFonts w:ascii="Times New Roman" w:cs="Times New Roman" w:eastAsia="Times New Roman" w:hAnsi="Times New Roman"/>
          <w:sz w:val="22"/>
          <w:szCs w:val="22"/>
          <w:color w:val="auto"/>
        </w:rPr>
        <w:t>, or to such other addresses as either party shall specify to the other.</w:t>
      </w:r>
    </w:p>
    <w:p>
      <w:pPr>
        <w:spacing w:after="0" w:line="72" w:lineRule="exact"/>
        <w:rPr>
          <w:rFonts w:ascii="Times New Roman" w:cs="Times New Roman" w:eastAsia="Times New Roman" w:hAnsi="Times New Roman"/>
          <w:sz w:val="22"/>
          <w:szCs w:val="22"/>
          <w:color w:val="auto"/>
        </w:rPr>
      </w:pPr>
    </w:p>
    <w:p>
      <w:pPr>
        <w:jc w:val="both"/>
        <w:ind w:left="-8" w:firstLine="8"/>
        <w:spacing w:after="0" w:line="238" w:lineRule="auto"/>
        <w:tabs>
          <w:tab w:leader="none" w:pos="50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performance and construction of this Agreement shall be governed by the laws of the State of California. The Consultant warrants that (i) neither the execution nor performance of this Agreement will conflict with or constitute a default of any agreement to which the Consultant is a party, and (ii) no law, rule or ordinance of the United States, a state or any other governmental agency will be violated during performance of the Transition Services, and will defend and hold Adeia Guides Inc. harmless from any loss, cost or damage as a result of any actual or alleged breach of these warranties.</w:t>
      </w:r>
    </w:p>
    <w:p>
      <w:pPr>
        <w:spacing w:after="0" w:line="68" w:lineRule="exact"/>
        <w:rPr>
          <w:rFonts w:ascii="Times New Roman" w:cs="Times New Roman" w:eastAsia="Times New Roman" w:hAnsi="Times New Roman"/>
          <w:sz w:val="22"/>
          <w:szCs w:val="22"/>
          <w:color w:val="auto"/>
        </w:rPr>
      </w:pPr>
    </w:p>
    <w:p>
      <w:pPr>
        <w:jc w:val="both"/>
        <w:ind w:left="-8" w:firstLine="8"/>
        <w:spacing w:after="0" w:line="234" w:lineRule="auto"/>
        <w:tabs>
          <w:tab w:leader="none" w:pos="50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it would be impossible or inadequate to measure and calculate the Company’s damages from any breach of the covenants set forth herein. Accordingly, you agree that if you breach any of the covenants set forth herein, the Company will have available, in addition to any other right or remedy available, the right to obtain from any court of competent jurisdiction an injunction restraining such breach or threatened breach and specific performance of any such provision. You further agree that no bond or other security shall be required in obtaining such equitable relief, and you hereby consent to the issuances of such injunction and to the ordering of such specific performance.</w:t>
      </w:r>
    </w:p>
    <w:p>
      <w:pPr>
        <w:spacing w:after="0" w:line="2" w:lineRule="exact"/>
        <w:rPr>
          <w:rFonts w:ascii="Times New Roman" w:cs="Times New Roman" w:eastAsia="Times New Roman" w:hAnsi="Times New Roman"/>
          <w:sz w:val="22"/>
          <w:szCs w:val="22"/>
          <w:color w:val="auto"/>
        </w:rPr>
      </w:pPr>
    </w:p>
    <w:p>
      <w:pPr>
        <w:jc w:val="both"/>
        <w:ind w:left="-8" w:firstLine="8"/>
        <w:spacing w:after="0" w:line="235" w:lineRule="auto"/>
        <w:tabs>
          <w:tab w:leader="none" w:pos="50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Consultant accesses, receives, or processes personal information relating to Adeia's employees, contractors, or applicants ("Employee Data"), Consultant shall act solely as a Service Provider (as defined under the California Consumer Privacy Act, as amended) and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871855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91" w:name="page92"/>
    <w:bookmarkEnd w:id="91"/>
    <w:p>
      <w:pPr>
        <w:jc w:val="both"/>
        <w:ind w:firstLine="509"/>
        <w:spacing w:after="0" w:line="233" w:lineRule="auto"/>
        <w:rPr>
          <w:sz w:val="20"/>
          <w:szCs w:val="20"/>
          <w:color w:val="auto"/>
        </w:rPr>
      </w:pPr>
      <w:r>
        <w:rPr>
          <w:rFonts w:ascii="Times New Roman" w:cs="Times New Roman" w:eastAsia="Times New Roman" w:hAnsi="Times New Roman"/>
          <w:sz w:val="22"/>
          <w:szCs w:val="22"/>
          <w:color w:val="auto"/>
        </w:rPr>
        <w:t>process Employee Data only as necessary to perform the services described in the applicable SOW. Consultant shall not sell, share, or use Employee Data for any purpose outside the direct business relationship with Adeia, and shall not disclose Employee Data to any third party or sub-contractor without Adeia's prior written consent. Consultant shall implement and maintain reasonable administrative, technical, and physical security measures to protect Employee Data, including encryption in transit and at rest, access controls limited to personnel with a need to know, and a prohibition on storing Employee Data on personal or unmanaged devices. Consultant shall notify Adeia's Legal Department within twenty-four (24) hours of discovering any actual or suspected unauthorized access to or disclosure of Employee Data.</w:t>
      </w:r>
    </w:p>
    <w:p>
      <w:pPr>
        <w:spacing w:after="0" w:line="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Upon termination or expiration of this Agreement, or upon Adeia's written request, Consultant shall promptly return or securely destroy all Employee Data (including copies held by any approved sub-contractors) and shall provide Adeia with written certification of such return or destruction within thirty (30) days. If Consultant's engagement involves access to health, medical, benefits, or other protected health information, Consultant shall not access such data until a separate HIPAA Business Associate Agreement has been executed by the parties. A breach of this Section shall constitute a material breach of this Agreement.</w:t>
      </w:r>
    </w:p>
    <w:p>
      <w:pPr>
        <w:spacing w:after="0" w:line="3" w:lineRule="exact"/>
        <w:rPr>
          <w:sz w:val="20"/>
          <w:szCs w:val="20"/>
          <w:color w:val="auto"/>
        </w:rPr>
      </w:pPr>
    </w:p>
    <w:p>
      <w:pPr>
        <w:jc w:val="both"/>
        <w:ind w:firstLine="8"/>
        <w:spacing w:after="0" w:line="232" w:lineRule="auto"/>
        <w:tabs>
          <w:tab w:leader="none" w:pos="50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5, 6, 10, 12, 13, 20 and 21, and any other provisions that by their nature should survive, shall survive termination or expiration of this Agreement. This Agreement and any SOWs are the entire agreement of the parties with respect to the consulting services and supersede prior agreements concerning those services. Except as expressly provided in Sections 5 and 6, this Agreement does not amend, replace or supersede any separation agreement, equity plan or award agreement, indemnification agreement, confidentiality or invention-assignment agreement, or any other agreement or right that by its terms survives the end of your employment.</w:t>
      </w:r>
    </w:p>
    <w:p>
      <w:pPr>
        <w:spacing w:after="0" w:line="209" w:lineRule="exact"/>
        <w:rPr>
          <w:rFonts w:ascii="Times New Roman" w:cs="Times New Roman" w:eastAsia="Times New Roman" w:hAnsi="Times New Roman"/>
          <w:sz w:val="22"/>
          <w:szCs w:val="22"/>
          <w:color w:val="auto"/>
        </w:rPr>
      </w:pPr>
    </w:p>
    <w:p>
      <w:pPr>
        <w:jc w:val="both"/>
        <w:ind w:firstLine="8"/>
        <w:spacing w:after="0" w:line="234" w:lineRule="auto"/>
        <w:tabs>
          <w:tab w:leader="none" w:pos="50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you are being engaged solely to provide the Transition Services expressly contemplated by this Agreement and you are not being engaged in your capacity as an attorney or to provide legal advice or legal services to the Company. In connection with the Transition Services, you may participate in meetings, discussions, communications, or other matters involving legal or regulatory issues in your business or advisory capacity, and such participation shall not constitute the provision of legal advice or legal services or otherwise expand your duties or responsibilities under this Agreement. The Company acknowledges that it will not rely, and is not entitled to rely, on you for legal advice or legal services, and no communication, recommendation, or other assistance or services provided by you in connection with the Transition Services shall be construed as legal advice or as creating an attorney-client relationship between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1"/>
          <w:szCs w:val="21"/>
          <w:color w:val="auto"/>
        </w:rPr>
        <w:t>If this Agreement is satisfactory and acceptable to you, please execute. You will receive a copy for your files via Docusign.</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very truly,</w:t>
      </w:r>
    </w:p>
    <w:p>
      <w:pPr>
        <w:spacing w:after="0" w:line="200" w:lineRule="exact"/>
        <w:rPr>
          <w:sz w:val="20"/>
          <w:szCs w:val="20"/>
          <w:color w:val="auto"/>
        </w:rPr>
      </w:pPr>
    </w:p>
    <w:p>
      <w:pPr>
        <w:spacing w:after="0" w:line="3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Kevin Tanji</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Kevin Tanji</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Chief Legal Officer and Secretary</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For Adeia Guides Inc.</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200" w:lineRule="exact"/>
        <w:rPr>
          <w:sz w:val="20"/>
          <w:szCs w:val="20"/>
          <w:color w:val="auto"/>
        </w:rPr>
      </w:pPr>
    </w:p>
    <w:p>
      <w:pPr>
        <w:spacing w:after="0" w:line="3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Paul E. Davis</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  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08" w:right="839" w:bottom="1440" w:gutter="0" w:footer="0" w:header="0"/>
        </w:sectPr>
      </w:pPr>
    </w:p>
    <w:bookmarkStart w:id="93" w:name="page94"/>
    <w:bookmarkEnd w:id="93"/>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SOW #1 (“SOW”)</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This Statement of Work (“SOW”) is issued under and governed by the Consulting Agreement between Adeia and Consultant dated as of the September 25, 2026 (the “Agreement”). All capitalized terms used in this SOW have the meanings assigned to them in the Agreement unless otherwise defined herein.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Transition Services:</w:t>
      </w:r>
    </w:p>
    <w:p>
      <w:pPr>
        <w:spacing w:after="0" w:line="1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Consultant will provide executive transition advice and assistance to the Company’s new Chief Executive Officer, the Chair of the Board of Directors and other Company representatives, including the services listed below, as applicable. Any Company representative may communicate directly with Consultant and request Transition Services within the scope of this SOW. With respect to Transition Services requested by or provided to a Company representative other than the new Chief Executive Officer or the Chair of the Board of Directors, Consultant will promptly inform the new Chief Executive Officer (or the new Chief Executive Officer’s designee) of the request and reasonably coordinate the scope, timing and priority of those Transition Services with the new Chief Executive Officer or such designee. The new Chief Executive Officer may direct the prioritization, modification, deferral or discontinuation of those Transition Services. Nothing in this paragraph limits any Company representative’s ability to communicate with Consultant.</w:t>
      </w:r>
    </w:p>
    <w:p>
      <w:pPr>
        <w:spacing w:after="0" w:line="81" w:lineRule="exact"/>
        <w:rPr>
          <w:sz w:val="20"/>
          <w:szCs w:val="20"/>
          <w:color w:val="auto"/>
        </w:rPr>
      </w:pPr>
    </w:p>
    <w:p>
      <w:pPr>
        <w:ind w:left="380" w:hanging="372"/>
        <w:spacing w:after="0" w:line="250" w:lineRule="auto"/>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history, insight and guidance concerning quarter-end close and the related public earnings release, including relevant investor perspectives and prior investor feedback.</w:t>
      </w:r>
    </w:p>
    <w:p>
      <w:pPr>
        <w:spacing w:after="0" w:line="1" w:lineRule="exact"/>
        <w:rPr>
          <w:rFonts w:ascii="Times New Roman" w:cs="Times New Roman" w:eastAsia="Times New Roman" w:hAnsi="Times New Roman"/>
          <w:sz w:val="20"/>
          <w:szCs w:val="20"/>
          <w:color w:val="auto"/>
        </w:rPr>
      </w:pPr>
    </w:p>
    <w:p>
      <w:pPr>
        <w:ind w:left="380" w:hanging="372"/>
        <w:spacing w:after="0" w:line="239" w:lineRule="auto"/>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history, insight and guidance concerning preparation for meetings of the Board of Directors, including development of the growth strategy initiative and the long-range plan (LRP).</w:t>
      </w:r>
    </w:p>
    <w:p>
      <w:pPr>
        <w:ind w:left="380" w:right="20" w:hanging="372"/>
        <w:spacing w:after="0" w:line="239" w:lineRule="auto"/>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insight concerning executive team member performance through mid-year check-in documentation and related transition discussions.</w:t>
      </w:r>
    </w:p>
    <w:p>
      <w:pPr>
        <w:ind w:left="380" w:hanging="372"/>
        <w:spacing w:after="0"/>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history and insight concerning industry and customer relationships and make introductions as appropriate.</w:t>
      </w:r>
    </w:p>
    <w:p>
      <w:pPr>
        <w:ind w:left="380" w:hanging="372"/>
        <w:spacing w:after="0"/>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history and insight concerning key transactions, commercial matters and pending litigation.</w:t>
      </w:r>
    </w:p>
    <w:p>
      <w:pPr>
        <w:ind w:left="380" w:right="20" w:hanging="372"/>
        <w:spacing w:after="0" w:line="239" w:lineRule="auto"/>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or assist with transition materials identifying key priorities, pending decisions, material deadlines, principal contacts and other information reasonably useful to the new Chief Executive Officer.</w:t>
      </w:r>
    </w:p>
    <w:p>
      <w:pPr>
        <w:ind w:left="380" w:right="20" w:hanging="372"/>
        <w:spacing w:after="0" w:line="239" w:lineRule="auto"/>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Facilitate handoffs to key external advisers and stakeholders, including auditors, outside counsel and significant business partners, and participate in transition meetings as reasonably requested.</w:t>
      </w:r>
    </w:p>
    <w:p>
      <w:pPr>
        <w:ind w:left="380" w:hanging="372"/>
        <w:spacing w:after="0" w:line="239" w:lineRule="auto"/>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such other transition services as may be reasonably requested by the Company or the new Chief Executive Officer and mutually agreed with Consultant.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 and Deliverables</w:t>
      </w:r>
    </w:p>
    <w:p>
      <w:pPr>
        <w:spacing w:after="0" w:line="86" w:lineRule="exact"/>
        <w:rPr>
          <w:sz w:val="20"/>
          <w:szCs w:val="20"/>
          <w:color w:val="auto"/>
        </w:rPr>
      </w:pPr>
    </w:p>
    <w:p>
      <w:pPr>
        <w:ind w:left="380" w:hanging="372"/>
        <w:spacing w:after="0" w:line="269" w:lineRule="auto"/>
        <w:tabs>
          <w:tab w:leader="none" w:pos="3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SOW will become effective on the Effective Date and will expire on December 31, 2026, unless the Agreement or this SOW is earlier terminated in accordance with the Agreement.</w:t>
      </w:r>
    </w:p>
    <w:p>
      <w:pPr>
        <w:spacing w:after="0" w:line="51"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will provide the services principally through meetings, calls, introductions, review of materials and written guidance as reasonably requested. Expected transition outputs include:</w:t>
      </w:r>
    </w:p>
    <w:p>
      <w:pPr>
        <w:spacing w:after="0" w:line="51" w:lineRule="exact"/>
        <w:rPr>
          <w:sz w:val="20"/>
          <w:szCs w:val="20"/>
          <w:color w:val="auto"/>
        </w:rPr>
      </w:pPr>
    </w:p>
    <w:p>
      <w:pPr>
        <w:ind w:left="380" w:hanging="372"/>
        <w:spacing w:after="0"/>
        <w:tabs>
          <w:tab w:leader="none" w:pos="3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Timely oral and written transition guidance responsive to reasonable requests within the scope above.</w:t>
      </w:r>
    </w:p>
    <w:p>
      <w:pPr>
        <w:spacing w:after="0" w:line="2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requested handoff notes, contact lists, background materials and status summaries concerning open matters.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w:t>
      </w:r>
    </w:p>
    <w:p>
      <w:pPr>
        <w:spacing w:after="0" w:line="112" w:lineRule="exact"/>
        <w:rPr>
          <w:sz w:val="20"/>
          <w:szCs w:val="20"/>
          <w:color w:val="auto"/>
        </w:rPr>
      </w:pPr>
    </w:p>
    <w:p>
      <w:pPr>
        <w:jc w:val="both"/>
        <w:ind w:left="380" w:hanging="372"/>
        <w:spacing w:after="0" w:line="249" w:lineRule="auto"/>
        <w:tabs>
          <w:tab w:leader="none" w:pos="3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will pay Consultant a fixed fee of $183,000 for the Transition Services, payable in three equal installments of $61,000 within 30 days after the end each calendar month during the Term (i.e., October, November and December). The fee covers Consultant’s services and reasonable availability under this SOW; no additional fee will be payable unless the parties agree otherwise in a written amendment.</w:t>
      </w:r>
    </w:p>
    <w:p>
      <w:pPr>
        <w:spacing w:after="0" w:line="71"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(or anything in the Agreement), the Company will pay (or cause to be paid) the Consultant’s and employer portions of the premiums required to continue Consultant’s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925830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jc w:val="both"/>
        <w:ind w:left="372"/>
        <w:spacing w:after="0" w:line="245" w:lineRule="auto"/>
        <w:rPr>
          <w:sz w:val="20"/>
          <w:szCs w:val="20"/>
          <w:color w:val="auto"/>
        </w:rPr>
      </w:pPr>
      <w:r>
        <w:rPr>
          <w:rFonts w:ascii="Times New Roman" w:cs="Times New Roman" w:eastAsia="Times New Roman" w:hAnsi="Times New Roman"/>
          <w:sz w:val="20"/>
          <w:szCs w:val="20"/>
          <w:color w:val="auto"/>
        </w:rPr>
        <w:t>health care coverage through September 30, 2027 under the applicable provisions of the Consolidated Omnibus Budget Reconciliation Act of 1985 (“COBRA”), provided that Consultant timely elects to continue and remains eligible for these benefits under COBRA and does not become eligible for health care coverage through another employer during this period. Consultant will promptly notify the Company if Consultant becomes eligible for health care coverage through another employer during this period. The Company’s obligation to make these COBRA premium payments will survive the expiration or earlier termination of this Agreement and will not constitute eligibility for employee benefits based on the consulting services.</w:t>
      </w:r>
    </w:p>
    <w:p>
      <w:pPr>
        <w:spacing w:after="0" w:line="76" w:lineRule="exact"/>
        <w:rPr>
          <w:sz w:val="20"/>
          <w:szCs w:val="20"/>
          <w:color w:val="auto"/>
        </w:rPr>
      </w:pPr>
    </w:p>
    <w:p>
      <w:pPr>
        <w:jc w:val="both"/>
        <w:ind w:left="372" w:hanging="372"/>
        <w:spacing w:after="0" w:line="254" w:lineRule="auto"/>
        <w:tabs>
          <w:tab w:leader="none" w:pos="37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Services requested by the new Chief Executive Officer, the Chair of the Board of Directors or either of their designees will be deemed pre-approved. Any material expansion of the scope of this SOW must be approved in writing by the new Chief Executive Officer and Consultant.</w:t>
      </w:r>
    </w:p>
    <w:p>
      <w:pPr>
        <w:spacing w:after="0" w:line="66" w:lineRule="exact"/>
        <w:rPr>
          <w:rFonts w:ascii="Times New Roman" w:cs="Times New Roman" w:eastAsia="Times New Roman" w:hAnsi="Times New Roman"/>
          <w:sz w:val="20"/>
          <w:szCs w:val="20"/>
          <w:color w:val="auto"/>
        </w:rPr>
      </w:pPr>
    </w:p>
    <w:p>
      <w:pPr>
        <w:ind w:left="372" w:right="20" w:hanging="372"/>
        <w:spacing w:after="0" w:line="269" w:lineRule="auto"/>
        <w:tabs>
          <w:tab w:leader="none" w:pos="37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will reimburse Consultant for reasonable, documented transportation, lodging and meal expenses incurred in performing the services, subject to prior written approval by the Chief Legal Officer or Chief Financial Officer.</w:t>
      </w:r>
    </w:p>
    <w:p>
      <w:pPr>
        <w:spacing w:after="0" w:line="51" w:lineRule="exact"/>
        <w:rPr>
          <w:rFonts w:ascii="Times New Roman" w:cs="Times New Roman" w:eastAsia="Times New Roman" w:hAnsi="Times New Roman"/>
          <w:sz w:val="20"/>
          <w:szCs w:val="20"/>
          <w:color w:val="auto"/>
        </w:rPr>
      </w:pPr>
    </w:p>
    <w:p>
      <w:pPr>
        <w:ind w:left="372" w:hanging="372"/>
        <w:spacing w:after="0"/>
        <w:tabs>
          <w:tab w:leader="none" w:pos="37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to provide a completed Form W9 to Company promptly following execution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1167130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Dipti Vachani, certify that:</w:t>
      </w:r>
    </w:p>
    <w:p>
      <w:pPr>
        <w:spacing w:after="0" w:line="171" w:lineRule="exact"/>
        <w:rPr>
          <w:sz w:val="20"/>
          <w:szCs w:val="20"/>
          <w:color w:val="auto"/>
        </w:rPr>
      </w:pPr>
    </w:p>
    <w:p>
      <w:pPr>
        <w:ind w:left="180" w:hanging="172"/>
        <w:spacing w:after="0"/>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Adeia Inc.;</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760" w:right="120" w:hanging="3"/>
        <w:spacing w:after="0" w:line="266" w:lineRule="auto"/>
        <w:tabs>
          <w:tab w:leader="none" w:pos="94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760" w:right="520" w:hanging="3"/>
        <w:spacing w:after="0" w:line="266" w:lineRule="auto"/>
        <w:tabs>
          <w:tab w:leader="none" w:pos="95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60" w:right="620" w:hanging="3"/>
        <w:spacing w:after="0" w:line="312" w:lineRule="auto"/>
        <w:tabs>
          <w:tab w:leader="none" w:pos="945"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760" w:right="100" w:hanging="3"/>
        <w:spacing w:after="0" w:line="266" w:lineRule="auto"/>
        <w:tabs>
          <w:tab w:leader="none" w:pos="95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60" w:right="40" w:hanging="3"/>
        <w:spacing w:after="0" w:line="282" w:lineRule="auto"/>
        <w:tabs>
          <w:tab w:leader="none" w:pos="94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60" w:right="540" w:hanging="3"/>
        <w:spacing w:after="0" w:line="282" w:lineRule="auto"/>
        <w:tabs>
          <w:tab w:leader="none" w:pos="95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Dipti Vachani</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Dipti Vachani</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1411"/>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A. Jones, certify that:</w:t>
      </w:r>
    </w:p>
    <w:p>
      <w:pPr>
        <w:spacing w:after="0" w:line="171" w:lineRule="exact"/>
        <w:rPr>
          <w:sz w:val="20"/>
          <w:szCs w:val="20"/>
          <w:color w:val="auto"/>
        </w:rPr>
      </w:pPr>
    </w:p>
    <w:p>
      <w:pPr>
        <w:ind w:left="180" w:hanging="172"/>
        <w:spacing w:after="0"/>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Adeia Inc.;</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760" w:right="120" w:hanging="3"/>
        <w:spacing w:after="0" w:line="266" w:lineRule="auto"/>
        <w:tabs>
          <w:tab w:leader="none" w:pos="94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760" w:right="520" w:hanging="3"/>
        <w:spacing w:after="0" w:line="266" w:lineRule="auto"/>
        <w:tabs>
          <w:tab w:leader="none" w:pos="95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60" w:right="620" w:hanging="3"/>
        <w:spacing w:after="0" w:line="312" w:lineRule="auto"/>
        <w:tabs>
          <w:tab w:leader="none" w:pos="945"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760" w:right="100" w:hanging="3"/>
        <w:spacing w:after="0" w:line="266" w:lineRule="auto"/>
        <w:tabs>
          <w:tab w:leader="none" w:pos="95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60" w:right="40" w:hanging="3"/>
        <w:spacing w:after="0" w:line="282" w:lineRule="auto"/>
        <w:tabs>
          <w:tab w:leader="none" w:pos="94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60" w:right="540" w:hanging="3"/>
        <w:spacing w:after="0" w:line="282" w:lineRule="auto"/>
        <w:tabs>
          <w:tab w:leader="none" w:pos="95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A. Jones</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Keith A. Jones</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11"/>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15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Adeia Inc., a Delaware corporation (the “Company”), on Form 10-Q for the period ended September 30, 2026 as filed with the Securities and Exchange Commission (the “Report”), I, Dipti Vachani, Chief Executive Officer and President, certify, pursuant to Rule 13a-14(b) of the Securities Exchange Act of 1934 and 18 U.S.C. § 1350, as adopted pursuant to § 906 of the Sarbanes-Oxley Act of 2002, that to my knowledge:</w:t>
      </w:r>
    </w:p>
    <w:p>
      <w:pPr>
        <w:spacing w:after="0" w:line="126" w:lineRule="exact"/>
        <w:rPr>
          <w:sz w:val="20"/>
          <w:szCs w:val="20"/>
          <w:color w:val="auto"/>
        </w:rPr>
      </w:pPr>
    </w:p>
    <w:p>
      <w:pPr>
        <w:ind w:left="1020" w:hanging="263"/>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Dipti Vachani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Dipti Vachani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2026</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15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Adeia Inc., a Delaware corporation (the “Company”), on Form 10-Q for the period ended September 30, 2026 as filed with the Securities and Exchange Commission (the “Report”), I, Keith A. Jones, Chief Financial Officer of the Company, certify, pursuant to Rule 13a-14(b) of the Securities Exchange Act of 1934 and 18 U.S.C. § 1350, as adopted pursuant to § 906 of the Sarbanes-Oxley Act of 2002, that to my knowledge:</w:t>
      </w:r>
    </w:p>
    <w:p>
      <w:pPr>
        <w:spacing w:after="0" w:line="126" w:lineRule="exact"/>
        <w:rPr>
          <w:sz w:val="20"/>
          <w:szCs w:val="20"/>
          <w:color w:val="auto"/>
        </w:rPr>
      </w:pPr>
    </w:p>
    <w:p>
      <w:pPr>
        <w:ind w:left="1020" w:hanging="26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A. Jones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2026</w:t>
      </w:r>
    </w:p>
    <w:p>
      <w:pPr>
        <w:spacing w:after="0" w:line="205" w:lineRule="exact"/>
        <w:rPr>
          <w:sz w:val="20"/>
          <w:szCs w:val="20"/>
          <w:color w:val="auto"/>
        </w:rPr>
      </w:pPr>
    </w:p>
    <w:p>
      <w:pPr>
        <w:ind w:right="160" w:firstLine="749"/>
        <w:spacing w:after="0" w:line="315" w:lineRule="auto"/>
        <w:rPr>
          <w:sz w:val="20"/>
          <w:szCs w:val="20"/>
          <w:color w:val="auto"/>
        </w:rPr>
      </w:pPr>
      <w:r>
        <w:rPr>
          <w:rFonts w:ascii="Times New Roman" w:cs="Times New Roman" w:eastAsia="Times New Roman" w:hAnsi="Times New Roman"/>
          <w:sz w:val="17"/>
          <w:szCs w:val="17"/>
          <w:i w:val="1"/>
          <w:iCs w:val="1"/>
          <w:color w:val="auto"/>
        </w:rPr>
        <w:t>A signed original of this written statement required by Rule 13a-14(b) of the Securities Exchange Act of 1934 and 18 U.S.C. Section 1350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702945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8" w:name="page99"/>
    <w:bookmarkEnd w:id="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1."/>
      <w:numFmt w:val="decimal"/>
      <w:start w:val="1"/>
    </w:lvl>
    <w:lvl w:ilvl="1">
      <w:lvlJc w:val="left"/>
      <w:lvlText w:val="(%2)"/>
      <w:numFmt w:val="lowerLetter"/>
      <w:start w:val="1"/>
    </w:lvl>
  </w:abstractNum>
  <w:abstractNum w:abstractNumId="12">
    <w:nsid w:val="57E4CCAF"/>
    <w:multiLevelType w:val="hybridMultilevel"/>
    <w:lvl w:ilvl="0">
      <w:lvlJc w:val="left"/>
      <w:lvlText w:val="(%1)"/>
      <w:numFmt w:val="decimal"/>
      <w:start w:val="30"/>
    </w:lvl>
    <w:lvl w:ilvl="1">
      <w:lvlJc w:val="left"/>
      <w:lvlText w:val="(%2)"/>
      <w:numFmt w:val="lowerLetter"/>
      <w:start w:val="8"/>
    </w:lvl>
    <w:lvl w:ilvl="2">
      <w:lvlJc w:val="left"/>
      <w:lvlText w:val="(%3)"/>
      <w:numFmt w:val="lowerRoman"/>
      <w:start w:val="1"/>
    </w:lvl>
    <w:lvl w:ilvl="3">
      <w:lvlJc w:val="left"/>
      <w:lvlText w:val="(%4)"/>
      <w:numFmt w:val="upperLetter"/>
      <w:start w:val="1"/>
    </w:lvl>
  </w:abstractNum>
  <w:abstractNum w:abstractNumId="13">
    <w:nsid w:val="7A6D8D3C"/>
    <w:multiLevelType w:val="hybridMultilevel"/>
    <w:lvl w:ilvl="0">
      <w:lvlJc w:val="left"/>
      <w:lvlText w:val="(%1)"/>
      <w:numFmt w:val="upperLetter"/>
      <w:start w:val="2"/>
    </w:lvl>
  </w:abstractNum>
  <w:abstractNum w:abstractNumId="14">
    <w:nsid w:val="4B588F54"/>
    <w:multiLevelType w:val="hybridMultilevel"/>
    <w:lvl w:ilvl="0">
      <w:lvlJc w:val="left"/>
      <w:lvlText w:val="(%1)"/>
      <w:numFmt w:val="lowerLetter"/>
      <w:start w:val="9"/>
    </w:lvl>
  </w:abstractNum>
  <w:abstractNum w:abstractNumId="15">
    <w:nsid w:val="542289EC"/>
    <w:multiLevelType w:val="hybridMultilevel"/>
    <w:lvl w:ilvl="0">
      <w:lvlJc w:val="left"/>
      <w:lvlText w:val="(%1)"/>
      <w:numFmt w:val="lowerRoman"/>
      <w:start w:val="1"/>
    </w:lvl>
  </w:abstractNum>
  <w:abstractNum w:abstractNumId="16">
    <w:nsid w:val="6DE91B18"/>
    <w:multiLevelType w:val="hybridMultilevel"/>
    <w:lvl w:ilvl="0">
      <w:lvlJc w:val="left"/>
      <w:lvlText w:val="(%1)"/>
      <w:numFmt w:val="lowerLetter"/>
      <w:start w:val="18"/>
    </w:lvl>
  </w:abstractNum>
  <w:abstractNum w:abstractNumId="17">
    <w:nsid w:val="38437FDB"/>
    <w:multiLevelType w:val="hybridMultilevel"/>
    <w:lvl w:ilvl="0">
      <w:lvlJc w:val="left"/>
      <w:lvlText w:val="(%1)"/>
      <w:numFmt w:val="lowerLetter"/>
      <w:start w:val="25"/>
    </w:lvl>
  </w:abstractNum>
  <w:abstractNum w:abstractNumId="18">
    <w:nsid w:val="7644A45C"/>
    <w:multiLevelType w:val="hybridMultilevel"/>
    <w:lvl w:ilvl="0">
      <w:lvlJc w:val="left"/>
      <w:lvlText w:val="%1"/>
      <w:numFmt w:val="decimal"/>
      <w:start w:val="1"/>
    </w:lvl>
    <w:lvl w:ilvl="1">
      <w:lvlJc w:val="left"/>
      <w:lvlText w:val="(%2)"/>
      <w:numFmt w:val="lowerLetter"/>
      <w:start w:val="27"/>
    </w:lvl>
    <w:lvl w:ilvl="2">
      <w:lvlJc w:val="left"/>
      <w:lvlText w:val="%3"/>
      <w:numFmt w:val="lowerLetter"/>
      <w:start w:val="1"/>
    </w:lvl>
  </w:abstractNum>
  <w:abstractNum w:abstractNumId="19">
    <w:nsid w:val="32FFF90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0">
    <w:nsid w:val="684A481A"/>
    <w:multiLevelType w:val="hybridMultilevel"/>
    <w:lvl w:ilvl="0">
      <w:lvlJc w:val="left"/>
      <w:lvlText w:val="(%1)"/>
      <w:numFmt w:val="lowerRoman"/>
      <w:start w:val="2"/>
    </w:lvl>
  </w:abstractNum>
  <w:abstractNum w:abstractNumId="21">
    <w:nsid w:val="579478FE"/>
    <w:multiLevelType w:val="hybridMultilevel"/>
    <w:lvl w:ilvl="0">
      <w:lvlJc w:val="left"/>
      <w:lvlText w:val="%1"/>
      <w:numFmt w:val="lowerLetter"/>
      <w:start w:val="1"/>
    </w:lvl>
    <w:lvl w:ilvl="1">
      <w:lvlJc w:val="left"/>
      <w:lvlText w:val="(%2)"/>
      <w:numFmt w:val="lowerLetter"/>
      <w:start w:val="22"/>
    </w:lvl>
  </w:abstractNum>
  <w:abstractNum w:abstractNumId="22">
    <w:nsid w:val="749ABB43"/>
    <w:multiLevelType w:val="hybridMultilevel"/>
    <w:lvl w:ilvl="0">
      <w:lvlJc w:val="left"/>
      <w:lvlText w:val="(%1)"/>
      <w:numFmt w:val="lowerLetter"/>
      <w:start w:val="2"/>
    </w:lvl>
    <w:lvl w:ilvl="1">
      <w:lvlJc w:val="left"/>
      <w:lvlText w:val="(%2)"/>
      <w:numFmt w:val="lowerLetter"/>
      <w:start w:val="9"/>
    </w:lvl>
  </w:abstractNum>
  <w:abstractNum w:abstractNumId="23">
    <w:nsid w:val="3DC240FB"/>
    <w:multiLevelType w:val="hybridMultilevel"/>
    <w:lvl w:ilvl="0">
      <w:lvlJc w:val="left"/>
      <w:lvlText w:val="(%1)"/>
      <w:numFmt w:val="lowerRoman"/>
      <w:start w:val="2"/>
    </w:lvl>
  </w:abstractNum>
  <w:abstractNum w:abstractNumId="24">
    <w:nsid w:val="1BA026FA"/>
    <w:multiLevelType w:val="hybridMultilevel"/>
    <w:lvl w:ilvl="0">
      <w:lvlJc w:val="left"/>
      <w:lvlText w:val="%1"/>
      <w:numFmt w:val="lowerLetter"/>
      <w:start w:val="1"/>
    </w:lvl>
    <w:lvl w:ilvl="1">
      <w:lvlJc w:val="left"/>
      <w:lvlText w:val="(%2)"/>
      <w:numFmt w:val="lowerLetter"/>
      <w:start w:val="22"/>
    </w:lvl>
  </w:abstractNum>
  <w:abstractNum w:abstractNumId="25">
    <w:nsid w:val="79A1DEAA"/>
    <w:multiLevelType w:val="hybridMultilevel"/>
    <w:lvl w:ilvl="0">
      <w:lvlJc w:val="left"/>
      <w:lvlText w:val="(%1)"/>
      <w:numFmt w:val="lowerLetter"/>
      <w:start w:val="3"/>
    </w:lvl>
    <w:lvl w:ilvl="1">
      <w:lvlJc w:val="left"/>
      <w:lvlText w:val="%2"/>
      <w:numFmt w:val="lowerLetter"/>
      <w:start w:val="1"/>
    </w:lvl>
  </w:abstractNum>
  <w:abstractNum w:abstractNumId="26">
    <w:nsid w:val="75C6C33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7">
    <w:nsid w:val="12E685F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
    <w:nsid w:val="70C6A529"/>
    <w:multiLevelType w:val="hybridMultilevel"/>
    <w:lvl w:ilvl="0">
      <w:lvlJc w:val="left"/>
      <w:lvlText w:val="%1"/>
      <w:numFmt w:val="lowerLetter"/>
      <w:start w:val="1"/>
    </w:lvl>
    <w:lvl w:ilvl="1">
      <w:lvlJc w:val="left"/>
      <w:lvlText w:val="%2."/>
      <w:numFmt w:val="decimal"/>
      <w:start w:val="5"/>
    </w:lvl>
  </w:abstractNum>
  <w:abstractNum w:abstractNumId="29">
    <w:nsid w:val="520EEDD1"/>
    <w:multiLevelType w:val="hybridMultilevel"/>
    <w:lvl w:ilvl="0">
      <w:lvlJc w:val="left"/>
      <w:lvlText w:val="(%1)"/>
      <w:numFmt w:val="lowerLetter"/>
      <w:start w:val="3"/>
    </w:lvl>
    <w:lvl w:ilvl="1">
      <w:lvlJc w:val="left"/>
      <w:lvlText w:val="%2."/>
      <w:numFmt w:val="decimal"/>
      <w:start w:val="6"/>
    </w:lvl>
  </w:abstractNum>
  <w:abstractNum w:abstractNumId="30">
    <w:nsid w:val="374A3FE6"/>
    <w:multiLevelType w:val="hybridMultilevel"/>
    <w:lvl w:ilvl="0">
      <w:lvlJc w:val="left"/>
      <w:lvlText w:val="%1."/>
      <w:numFmt w:val="decimal"/>
      <w:start w:val="7"/>
    </w:lvl>
  </w:abstractNum>
  <w:abstractNum w:abstractNumId="31">
    <w:nsid w:val="4F4EF005"/>
    <w:multiLevelType w:val="hybridMultilevel"/>
    <w:lvl w:ilvl="0">
      <w:lvlJc w:val="left"/>
      <w:lvlText w:val="(%1)"/>
      <w:numFmt w:val="lowerLetter"/>
      <w:start w:val="4"/>
    </w:lvl>
  </w:abstractNum>
  <w:abstractNum w:abstractNumId="32">
    <w:nsid w:val="23F9C13C"/>
    <w:multiLevelType w:val="hybridMultilevel"/>
    <w:lvl w:ilvl="0">
      <w:lvlJc w:val="left"/>
      <w:lvlText w:val="(%1)"/>
      <w:numFmt w:val="lowerLetter"/>
      <w:start w:val="1"/>
    </w:lvl>
  </w:abstractNum>
  <w:abstractNum w:abstractNumId="33">
    <w:nsid w:val="649BB77C"/>
    <w:multiLevelType w:val="hybridMultilevel"/>
    <w:lvl w:ilvl="0">
      <w:lvlJc w:val="left"/>
      <w:lvlText w:val="%1."/>
      <w:numFmt w:val="decimal"/>
      <w:start w:val="9"/>
    </w:lvl>
    <w:lvl w:ilvl="1">
      <w:lvlJc w:val="left"/>
      <w:lvlText w:val="(%2)"/>
      <w:numFmt w:val="lowerLetter"/>
      <w:start w:val="1"/>
    </w:lvl>
  </w:abstractNum>
  <w:abstractNum w:abstractNumId="34">
    <w:nsid w:val="275AC794"/>
    <w:multiLevelType w:val="hybridMultilevel"/>
    <w:lvl w:ilvl="0">
      <w:lvlJc w:val="left"/>
      <w:lvlText w:val="(%1)"/>
      <w:numFmt w:val="lowerRoman"/>
      <w:start w:val="1"/>
    </w:lvl>
  </w:abstractNum>
  <w:abstractNum w:abstractNumId="35">
    <w:nsid w:val="39386575"/>
    <w:multiLevelType w:val="hybridMultilevel"/>
    <w:lvl w:ilvl="0">
      <w:lvlJc w:val="left"/>
      <w:lvlText w:val="(%1)"/>
      <w:numFmt w:val="lowerRoman"/>
      <w:start w:val="5"/>
    </w:lvl>
  </w:abstractNum>
  <w:abstractNum w:abstractNumId="36">
    <w:nsid w:val="1CF10FD8"/>
    <w:multiLevelType w:val="hybridMultilevel"/>
    <w:lvl w:ilvl="0">
      <w:lvlJc w:val="left"/>
      <w:lvlText w:val="(%1)"/>
      <w:numFmt w:val="lowerLetter"/>
      <w:start w:val="2"/>
    </w:lvl>
  </w:abstractNum>
  <w:abstractNum w:abstractNumId="37">
    <w:nsid w:val="180115BE"/>
    <w:multiLevelType w:val="hybridMultilevel"/>
    <w:lvl w:ilvl="0">
      <w:lvlJc w:val="left"/>
      <w:lvlText w:val="%1"/>
      <w:numFmt w:val="decimal"/>
      <w:start w:val="1"/>
    </w:lvl>
    <w:lvl w:ilvl="1">
      <w:lvlJc w:val="left"/>
      <w:lvlText w:val="(%2)"/>
      <w:numFmt w:val="lowerLetter"/>
      <w:start w:val="3"/>
    </w:lvl>
  </w:abstractNum>
  <w:abstractNum w:abstractNumId="38">
    <w:nsid w:val="235BA861"/>
    <w:multiLevelType w:val="hybridMultilevel"/>
    <w:lvl w:ilvl="0">
      <w:lvlJc w:val="left"/>
      <w:lvlText w:val="(%1)"/>
      <w:numFmt w:val="decimal"/>
      <w:start w:val="7"/>
    </w:lvl>
    <w:lvl w:ilvl="1">
      <w:lvlJc w:val="left"/>
      <w:lvlText w:val="(%2)"/>
      <w:numFmt w:val="lowerLetter"/>
      <w:start w:val="5"/>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
      <w:numFmt w:val="bullet"/>
      <w:start w:val="1"/>
    </w:lvl>
    <w:lvl w:ilvl="1">
      <w:lvlJc w:val="left"/>
      <w:lvlText w:val="(%2)"/>
      <w:numFmt w:val="lowerLetter"/>
      <w:start w:val="1"/>
    </w:lvl>
  </w:abstractNum>
  <w:abstractNum w:abstractNumId="41">
    <w:nsid w:val="15B5AF5C"/>
    <w:multiLevelType w:val="hybridMultilevel"/>
    <w:lvl w:ilvl="0">
      <w:lvlJc w:val="left"/>
      <w:lvlText w:val="(%1)"/>
      <w:numFmt w:val="lowerLetter"/>
      <w:start w:val="8"/>
    </w:lvl>
  </w:abstractNum>
  <w:abstractNum w:abstractNumId="42">
    <w:nsid w:val="741226BB"/>
    <w:multiLevelType w:val="hybridMultilevel"/>
    <w:lvl w:ilvl="0">
      <w:lvlJc w:val="left"/>
      <w:lvlText w:val="(%1)"/>
      <w:numFmt w:val="lowerRoman"/>
      <w:start w:val="1"/>
    </w:lvl>
  </w:abstractNum>
  <w:abstractNum w:abstractNumId="43">
    <w:nsid w:val="D34B6A8"/>
    <w:multiLevelType w:val="hybridMultilevel"/>
    <w:lvl w:ilvl="0">
      <w:lvlJc w:val="left"/>
      <w:lvlText w:val="(%1)"/>
      <w:numFmt w:val="lowerLetter"/>
      <w:start w:val="10"/>
    </w:lvl>
  </w:abstractNum>
  <w:abstractNum w:abstractNumId="44">
    <w:nsid w:val="10233C99"/>
    <w:multiLevelType w:val="hybridMultilevel"/>
    <w:lvl w:ilvl="0">
      <w:lvlJc w:val="left"/>
      <w:lvlText w:val="(%1)"/>
      <w:numFmt w:val="decimal"/>
      <w:start w:val="30"/>
    </w:lvl>
    <w:lvl w:ilvl="1">
      <w:lvlJc w:val="left"/>
      <w:lvlText w:val="(%2)"/>
      <w:numFmt w:val="lowerLetter"/>
      <w:start w:val="18"/>
    </w:lvl>
  </w:abstractNum>
  <w:abstractNum w:abstractNumId="45">
    <w:nsid w:val="3F6AB60F"/>
    <w:multiLevelType w:val="hybridMultilevel"/>
    <w:lvl w:ilvl="0">
      <w:lvlJc w:val="left"/>
      <w:lvlText w:val="(%1)"/>
      <w:numFmt w:val="lowerLetter"/>
      <w:start w:val="22"/>
    </w:lvl>
  </w:abstractNum>
  <w:abstractNum w:abstractNumId="46">
    <w:nsid w:val="61574095"/>
    <w:multiLevelType w:val="hybridMultilevel"/>
    <w:lvl w:ilvl="0">
      <w:lvlJc w:val="left"/>
      <w:lvlText w:val="%1"/>
      <w:numFmt w:val="decimal"/>
      <w:start w:val="1"/>
    </w:lvl>
    <w:lvl w:ilvl="1">
      <w:lvlJc w:val="left"/>
      <w:lvlText w:val="(%2)"/>
      <w:numFmt w:val="lowerLetter"/>
      <w:start w:val="27"/>
    </w:lvl>
  </w:abstractNum>
  <w:abstractNum w:abstractNumId="47">
    <w:nsid w:val="7E0C57B1"/>
    <w:multiLevelType w:val="hybridMultilevel"/>
    <w:lvl w:ilvl="0">
      <w:lvlJc w:val="left"/>
      <w:lvlText w:val="%1."/>
      <w:numFmt w:val="decimal"/>
      <w:start w:val="2"/>
    </w:lvl>
    <w:lvl w:ilvl="1">
      <w:lvlJc w:val="left"/>
      <w:lvlText w:val="(%2)"/>
      <w:numFmt w:val="lowerLetter"/>
      <w:start w:val="1"/>
    </w:lvl>
  </w:abstractNum>
  <w:abstractNum w:abstractNumId="48">
    <w:nsid w:val="77AE35EB"/>
    <w:multiLevelType w:val="hybridMultilevel"/>
    <w:lvl w:ilvl="0">
      <w:lvlJc w:val="left"/>
      <w:lvlText w:val="(%1)"/>
      <w:numFmt w:val="lowerLetter"/>
      <w:start w:val="2"/>
    </w:lvl>
  </w:abstractNum>
  <w:abstractNum w:abstractNumId="49">
    <w:nsid w:val="579BE4F1"/>
    <w:multiLevelType w:val="hybridMultilevel"/>
    <w:lvl w:ilvl="0">
      <w:lvlJc w:val="left"/>
      <w:lvlText w:val="(%1)"/>
      <w:numFmt w:val="lowerLetter"/>
      <w:start w:val="3"/>
    </w:lvl>
  </w:abstractNum>
  <w:abstractNum w:abstractNumId="50">
    <w:nsid w:val="310C50B3"/>
    <w:multiLevelType w:val="hybridMultilevel"/>
    <w:lvl w:ilvl="0">
      <w:lvlJc w:val="left"/>
      <w:lvlText w:val="%1."/>
      <w:numFmt w:val="decimal"/>
      <w:start w:val="4"/>
    </w:lvl>
  </w:abstractNum>
  <w:abstractNum w:abstractNumId="51">
    <w:nsid w:val="5FF87E05"/>
    <w:multiLevelType w:val="hybridMultilevel"/>
    <w:lvl w:ilvl="0">
      <w:lvlJc w:val="left"/>
      <w:lvlText w:val="(%1)"/>
      <w:numFmt w:val="lowerLetter"/>
      <w:start w:val="3"/>
    </w:lvl>
    <w:lvl w:ilvl="1">
      <w:lvlJc w:val="left"/>
      <w:lvlText w:val="%2."/>
      <w:numFmt w:val="decimal"/>
      <w:start w:val="6"/>
    </w:lvl>
  </w:abstractNum>
  <w:abstractNum w:abstractNumId="52">
    <w:nsid w:val="2F305DEF"/>
    <w:multiLevelType w:val="hybridMultilevel"/>
    <w:lvl w:ilvl="0">
      <w:lvlJc w:val="left"/>
      <w:lvlText w:val="%1."/>
      <w:numFmt w:val="decimal"/>
      <w:start w:val="7"/>
    </w:lvl>
  </w:abstractNum>
  <w:abstractNum w:abstractNumId="53">
    <w:nsid w:val="25A70BF7"/>
    <w:multiLevelType w:val="hybridMultilevel"/>
    <w:lvl w:ilvl="0">
      <w:lvlJc w:val="left"/>
      <w:lvlText w:val="(%1)"/>
      <w:numFmt w:val="lowerLetter"/>
      <w:start w:val="4"/>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1)"/>
      <w:numFmt w:val="lowerLetter"/>
      <w:start w:val="3"/>
    </w:lvl>
  </w:abstractNum>
  <w:abstractNum w:abstractNumId="56">
    <w:nsid w:val="1F48EAA1"/>
    <w:multiLevelType w:val="hybridMultilevel"/>
    <w:lvl w:ilvl="0">
      <w:lvlJc w:val="left"/>
      <w:lvlText w:val="%1."/>
      <w:numFmt w:val="decimal"/>
      <w:start w:val="1"/>
    </w:lvl>
    <w:lvl w:ilvl="1">
      <w:lvlJc w:val="left"/>
      <w:lvlText w:val="(%2)"/>
      <w:numFmt w:val="lowerLetter"/>
      <w:start w:val="1"/>
    </w:lvl>
  </w:abstractNum>
  <w:abstractNum w:abstractNumId="57">
    <w:nsid w:val="1381823A"/>
    <w:multiLevelType w:val="hybridMultilevel"/>
    <w:lvl w:ilvl="0">
      <w:lvlJc w:val="left"/>
      <w:lvlText w:val="(%1)"/>
      <w:numFmt w:val="lowerLetter"/>
      <w:start w:val="2"/>
    </w:lvl>
  </w:abstractNum>
  <w:abstractNum w:abstractNumId="58">
    <w:nsid w:val="5DB70AE5"/>
    <w:multiLevelType w:val="hybridMultilevel"/>
    <w:lvl w:ilvl="0">
      <w:lvlJc w:val="left"/>
      <w:lvlText w:val="%1"/>
      <w:numFmt w:val="decimal"/>
      <w:start w:val="1"/>
    </w:lvl>
    <w:lvl w:ilvl="1">
      <w:lvlJc w:val="left"/>
      <w:lvlText w:val="(%2)"/>
      <w:numFmt w:val="lowerLetter"/>
      <w:start w:val="3"/>
    </w:lvl>
  </w:abstractNum>
  <w:abstractNum w:abstractNumId="59">
    <w:nsid w:val="100F8FCA"/>
    <w:multiLevelType w:val="hybridMultilevel"/>
    <w:lvl w:ilvl="0">
      <w:lvlJc w:val="left"/>
      <w:lvlText w:val="(%1)"/>
      <w:numFmt w:val="decimal"/>
      <w:start w:val="7"/>
    </w:lvl>
    <w:lvl w:ilvl="1">
      <w:lvlJc w:val="left"/>
      <w:lvlText w:val="%2"/>
      <w:numFmt w:val="lowerLetter"/>
      <w:start w:val="1"/>
    </w:lvl>
  </w:abstractNum>
  <w:abstractNum w:abstractNumId="60">
    <w:nsid w:val="6590700B"/>
    <w:multiLevelType w:val="hybridMultilevel"/>
    <w:lvl w:ilvl="0">
      <w:lvlJc w:val="left"/>
      <w:lvlText w:val="(%1)"/>
      <w:numFmt w:val="lowerLetter"/>
      <w:start w:val="5"/>
    </w:lvl>
  </w:abstractNum>
  <w:abstractNum w:abstractNumId="61">
    <w:nsid w:val="15014ACB"/>
    <w:multiLevelType w:val="hybridMultilevel"/>
    <w:lvl w:ilvl="0">
      <w:lvlJc w:val="left"/>
      <w:lvlText w:val="%1."/>
      <w:numFmt w:val="decimal"/>
      <w:start w:val="3"/>
    </w:lvl>
  </w:abstractNum>
  <w:abstractNum w:abstractNumId="62">
    <w:nsid w:val="5F5E7FD0"/>
    <w:multiLevelType w:val="hybridMultilevel"/>
    <w:lvl w:ilvl="0">
      <w:lvlJc w:val="left"/>
      <w:lvlText w:val="%1."/>
      <w:numFmt w:val="decimal"/>
      <w:start w:val="7"/>
    </w:lvl>
  </w:abstractNum>
  <w:abstractNum w:abstractNumId="63">
    <w:nsid w:val="98A3148"/>
    <w:multiLevelType w:val="hybridMultilevel"/>
    <w:lvl w:ilvl="0">
      <w:lvlJc w:val="left"/>
      <w:lvlText w:val="%1."/>
      <w:numFmt w:val="decimal"/>
      <w:start w:val="1"/>
    </w:lvl>
  </w:abstractNum>
  <w:abstractNum w:abstractNumId="64">
    <w:nsid w:val="799D0247"/>
    <w:multiLevelType w:val="hybridMultilevel"/>
    <w:lvl w:ilvl="0">
      <w:lvlJc w:val="left"/>
      <w:lvlText w:val="%1."/>
      <w:numFmt w:val="decimal"/>
      <w:start w:val="7"/>
    </w:lvl>
  </w:abstractNum>
  <w:abstractNum w:abstractNumId="65">
    <w:nsid w:val="6B94764"/>
    <w:multiLevelType w:val="hybridMultilevel"/>
    <w:lvl w:ilvl="0">
      <w:lvlJc w:val="left"/>
      <w:lvlText w:val="%1."/>
      <w:numFmt w:val="decimal"/>
      <w:start w:val="11"/>
    </w:lvl>
  </w:abstractNum>
  <w:abstractNum w:abstractNumId="66">
    <w:nsid w:val="42C296BD"/>
    <w:multiLevelType w:val="hybridMultilevel"/>
    <w:lvl w:ilvl="0">
      <w:lvlJc w:val="left"/>
      <w:lvlText w:val="%1."/>
      <w:numFmt w:val="decimal"/>
      <w:start w:val="14"/>
    </w:lvl>
  </w:abstractNum>
  <w:abstractNum w:abstractNumId="67">
    <w:nsid w:val="168E121F"/>
    <w:multiLevelType w:val="hybridMultilevel"/>
    <w:lvl w:ilvl="0">
      <w:lvlJc w:val="left"/>
      <w:lvlText w:val="%1."/>
      <w:numFmt w:val="decimal"/>
      <w:start w:val="2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1."/>
      <w:numFmt w:val="decimal"/>
      <w:start w:val="3"/>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jpe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30" Type="http://schemas.openxmlformats.org/officeDocument/2006/relationships/hyperlink" Target="https://www.sec.gov/Archives/edgar/data/1803696/000119312526335038/ade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2026-11-04T15:22:43Z</dcterms:created>
  <dcterms:modified xsi:type="dcterms:W3CDTF">2026-11-04T15:22:43Z</dcterms:modified>
</cp:coreProperties>
</file>