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adea-20260722.htm"/>
      <w:bookmarkStart w:id="1" w:name="ksadea20260722"/>
      <w:bookmarkEnd w:id="0"/>
      <w:bookmarkEnd w:id="1"/>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July 22, 2026</w:t>
      </w:r>
    </w:p>
    <w:p>
      <w:pPr>
        <w:pStyle w:val="TextBody"/>
        <w:bidi w:val="0"/>
        <w:jc w:val="center"/>
        <w:rPr>
          <w:rFonts w:ascii="Times New Roman" w:hAnsi="Times New Roman"/>
          <w:b/>
          <w:color w:val="000000"/>
          <w:sz w:val="42"/>
        </w:rPr>
      </w:pPr>
      <w:r>
        <w:rPr>
          <w:rFonts w:ascii="Times New Roman" w:hAnsi="Times New Roman"/>
          <w:b/>
          <w:color w:val="000000"/>
          <w:sz w:val="42"/>
        </w:rPr>
        <w:t>ADEIA INC.</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121" w:type="dxa"/>
        <w:jc w:val="left"/>
        <w:tblInd w:w="0" w:type="dxa"/>
        <w:tblLayout w:type="fixed"/>
        <w:tblCellMar>
          <w:top w:w="28" w:type="dxa"/>
          <w:left w:w="28" w:type="dxa"/>
          <w:bottom w:w="28" w:type="dxa"/>
          <w:right w:w="28" w:type="dxa"/>
        </w:tblCellMar>
      </w:tblPr>
      <w:tblGrid>
        <w:gridCol w:w="1771"/>
        <w:gridCol w:w="109"/>
        <w:gridCol w:w="886"/>
        <w:gridCol w:w="109"/>
        <w:gridCol w:w="1246"/>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001-39304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84-4734590</w:t>
            </w:r>
          </w:p>
        </w:tc>
      </w:tr>
      <w:tr>
        <w:trPr/>
        <w:tc>
          <w:tcPr>
            <w:tcW w:w="17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(Commission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 xml:space="preserve">3025 Orchard Parkway </w:t>
      </w:r>
    </w:p>
    <w:p>
      <w:pPr>
        <w:pStyle w:val="TextBody"/>
        <w:bidi w:val="0"/>
        <w:jc w:val="center"/>
        <w:rPr>
          <w:rFonts w:ascii="Times New Roman" w:hAnsi="Times New Roman"/>
          <w:sz w:val="20"/>
        </w:rPr>
      </w:pPr>
      <w:r>
        <w:rPr>
          <w:rFonts w:ascii="Times New Roman" w:hAnsi="Times New Roman"/>
          <w:b/>
          <w:color w:val="000000"/>
          <w:sz w:val="18"/>
        </w:rPr>
        <w:t>San Jose, California</w:t>
      </w:r>
      <w:r>
        <w:rPr>
          <w:rFonts w:ascii="Times New Roman" w:hAnsi="Times New Roman"/>
          <w:color w:val="000000"/>
          <w:sz w:val="20"/>
        </w:rPr>
        <w:t xml:space="preserve"> </w:t>
      </w:r>
      <w:r>
        <w:rPr>
          <w:rFonts w:ascii="Times New Roman" w:hAnsi="Times New Roman"/>
          <w:b/>
          <w:color w:val="000000"/>
          <w:sz w:val="18"/>
        </w:rPr>
        <w:t>95134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(Address of Principal Executive Offices, including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(408) 473-2500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(Registrant’s telephone number, including area code)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Securities</w:t>
      </w:r>
      <w:r>
        <w:rPr>
          <w:rFonts w:ascii="Times New Roman" w:hAnsi="Times New Roman"/>
          <w:color w:val="000000"/>
          <w:sz w:val="20"/>
        </w:rPr>
        <w:t xml:space="preserve"> registered pursuant to Section 12(b) of the Act: </w:t>
      </w:r>
    </w:p>
    <w:tbl>
      <w:tblPr>
        <w:tblW w:w="7638" w:type="dxa"/>
        <w:jc w:val="left"/>
        <w:tblInd w:w="0" w:type="dxa"/>
        <w:tblLayout w:type="fixed"/>
        <w:tblCellMar>
          <w:top w:w="28" w:type="dxa"/>
          <w:left w:w="28" w:type="dxa"/>
          <w:bottom w:w="28" w:type="dxa"/>
          <w:right w:w="28" w:type="dxa"/>
        </w:tblCellMar>
      </w:tblPr>
      <w:tblGrid>
        <w:gridCol w:w="3271"/>
        <w:gridCol w:w="886"/>
        <w:gridCol w:w="3481"/>
      </w:tblGrid>
      <w:tr>
        <w:trPr/>
        <w:tc>
          <w:tcPr>
            <w:tcW w:w="3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ADEA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July 22, 2026, the Compensation Committee of Board of Directors of Adeia Inc. (the “Company”) approved certain changes described below to its existing severance agreements (each, a “Prior Severance Agreement”) entered into with each of (i) Keith A. Jones, the Company’s Chief Financial Officer, (ii) Dr. Mark Kokes, the Company’s Chief Revenue Officer, and (iii) Kevin Tanji, the Company’s Chief Legal Officer and Secretary. Such changes will be memorialized in an amended and restated severance agreement to be entered into with each such executive officer (each, an “Amended &amp; Restated Severance Agreement”), a form of which shall be filed with the Company’s quarterly report on Form 10-Q for the quarter ended June 30, 2026. Unless expressly stated below, each Amended &amp; Restated Severance Agreement shall be substantially the same as the corresponding Prior Severance Agreement, a form of which is filed as an exhibit to the Company’s Annual Report on Form 10-K for the year ended December 31, 2025, and will supersede and replace the corresponding Prior Severance Agreement.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Each Amended &amp; Restated Severance Agreement will reflect the following changes: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18"/>
        </w:rPr>
      </w:pPr>
      <w:r>
        <w:rPr>
          <w:rFonts w:ascii="Times New Roman" w:hAnsi="Times New Roman"/>
          <w:color w:val="000000"/>
          <w:sz w:val="18"/>
        </w:rPr>
        <w:t>If the applicable executive experiences a Qualifying Termination (as defined therein), the executive will additionally be entitled to receive immediate acceleration of vesting, as of the date of termination, of outstanding equity awards scheduled to vest within 12 months following the termination date (or for any, performance-based equity awards, (i) those with a multi-year performance period that ends during such period or (ii) to the extent any such award contains performance goals measured against fiscal year performance within a multi-year performance period, those with any such fiscal year(s) that have been completed on or prior to the termination date), with performance-based equity awards vesting based on the following, except to the extent alternative acceleration is specifically provided for pursuant to the grant documents: (a) actual performance achievement, with respect to any performance goals measured against fiscal year performance within an applicable multi-year performance period to the extent any such fiscal year(s) have previously been completed on or prior to the termination date, and (b) the greater of target performance achievement and actual performance achievement (to the extent determinable as of the termination date, as determined in the sole discretion of the Company), with respect to any other performance goals.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18"/>
        </w:rPr>
      </w:pPr>
      <w:r>
        <w:rPr>
          <w:rFonts w:ascii="Times New Roman" w:hAnsi="Times New Roman"/>
          <w:color w:val="000000"/>
          <w:sz w:val="18"/>
        </w:rPr>
        <w:t xml:space="preserve">If the applicable executive experiences a CIC Qualifying Termination (as defined therein), the executive’s existing entitlement to receive immediate acceleration of vesting, as of the later of the date of termination or the date of such change in control, of all outstanding equity awards, the level of performance-based equity award vesting will be based on the following, except to the extent alternative acceleration is specifically provided for pursuant to the grant documents: (a) actual performance achievement, with respect to any performance goals measured against fiscal year performance within an applicable multi-year performance period to the extent any such fiscal year(s) have previously been completed on or prior to the date of the Change in Control (as defined therein), and (b) the greater of target performance achievement and actual performance achievement (to the extent determinable as of the date of the Change in Control, as determined in the sole discretion of the Company), with respect to any other performance goals.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foregoing description of each Amended &amp; Restated Severance Agreement does not purport to be a complete description of each Amended &amp; Restated Severance Agreement or of the provisions summarized herein and is qualified in its entirety by reference to the actual text of the form of Amended &amp; Restated Severance Agreement that will be filed as an exhibit to the Company’s Form 10-Q for the quarter ended June 30, 2026.</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the requirements of the Securities Exchange Act of 1934, the registrant has duly caused this report to be signed on its behalf by the undersigned hereunto duly authorized.</w:t>
      </w:r>
      <w:r>
        <w:rPr>
          <w:rFonts w:ascii="Times New Roman" w:hAnsi="Times New Roman"/>
          <w:color w:val="000000"/>
          <w:sz w:val="20"/>
        </w:rPr>
        <w:t xml:space="preserve"> </w:t>
      </w:r>
    </w:p>
    <w:tbl>
      <w:tblPr>
        <w:tblW w:w="4200" w:type="dxa"/>
        <w:jc w:val="left"/>
        <w:tblInd w:w="0" w:type="dxa"/>
        <w:tblLayout w:type="fixed"/>
        <w:tblCellMar>
          <w:top w:w="28" w:type="dxa"/>
          <w:left w:w="28" w:type="dxa"/>
          <w:bottom w:w="28" w:type="dxa"/>
          <w:right w:w="28" w:type="dxa"/>
        </w:tblCellMar>
      </w:tblPr>
      <w:tblGrid>
        <w:gridCol w:w="1516"/>
        <w:gridCol w:w="109"/>
        <w:gridCol w:w="109"/>
        <w:gridCol w:w="571"/>
        <w:gridCol w:w="109"/>
        <w:gridCol w:w="1786"/>
      </w:tblGrid>
      <w:tr>
        <w:trPr/>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July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ADEIA INC.</w:t>
            </w:r>
          </w:p>
        </w:tc>
      </w:tr>
      <w:tr>
        <w:trPr/>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Keith A. Jones</w:t>
            </w:r>
          </w:p>
        </w:tc>
      </w:tr>
      <w:tr>
        <w:trPr/>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Keith A. Jones</w:t>
            </w:r>
          </w:p>
        </w:tc>
      </w:tr>
      <w:tr>
        <w:trPr/>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5385</Characters>
  <CharactersWithSpaces>6329</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