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ADEIA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001-39304</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03"/>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16"/>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3025 Orchard Parkway</w:t>
            </w:r>
          </w:p>
        </w:tc>
        <w:tc>
          <w:tcPr>
            <w:tcW w:w="1820" w:type="dxa"/>
            <w:vAlign w:val="bottom"/>
          </w:tcPr>
          <w:p>
            <w:pPr>
              <w:spacing w:after="0"/>
              <w:rPr>
                <w:sz w:val="24"/>
                <w:szCs w:val="24"/>
                <w:color w:val="auto"/>
              </w:rPr>
            </w:pPr>
          </w:p>
        </w:tc>
      </w:tr>
      <w:tr>
        <w:trPr>
          <w:trHeight w:val="222"/>
        </w:trPr>
        <w:tc>
          <w:tcPr>
            <w:tcW w:w="2280" w:type="dxa"/>
            <w:vAlign w:val="bottom"/>
          </w:tcPr>
          <w:p>
            <w:pPr>
              <w:spacing w:after="0"/>
              <w:rPr>
                <w:sz w:val="19"/>
                <w:szCs w:val="19"/>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1820" w:type="dxa"/>
            <w:vAlign w:val="bottom"/>
          </w:tcPr>
          <w:p>
            <w:pPr>
              <w:spacing w:after="0"/>
              <w:rPr>
                <w:sz w:val="19"/>
                <w:szCs w:val="19"/>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820" w:type="dxa"/>
            <w:vAlign w:val="bottom"/>
          </w:tcPr>
          <w:p>
            <w:pPr>
              <w:spacing w:after="0"/>
              <w:rPr>
                <w:sz w:val="18"/>
                <w:szCs w:val="18"/>
                <w:color w:val="auto"/>
              </w:rPr>
            </w:pPr>
          </w:p>
        </w:tc>
      </w:tr>
      <w:tr>
        <w:trPr>
          <w:trHeight w:val="422"/>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(408) 473-2500</w:t>
            </w:r>
          </w:p>
        </w:tc>
        <w:tc>
          <w:tcPr>
            <w:tcW w:w="1820" w:type="dxa"/>
            <w:vAlign w:val="bottom"/>
          </w:tcPr>
          <w:p>
            <w:pPr>
              <w:spacing w:after="0"/>
              <w:rPr>
                <w:sz w:val="24"/>
                <w:szCs w:val="24"/>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7"/>
                <w:szCs w:val="17"/>
                <w:color w:val="auto"/>
              </w:rPr>
              <w:t>registered pursuant to Section 12(b) of the Act:</w:t>
            </w:r>
          </w:p>
        </w:tc>
        <w:tc>
          <w:tcPr>
            <w:tcW w:w="11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39"/>
        </w:trPr>
        <w:tc>
          <w:tcPr>
            <w:tcW w:w="5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r>
      <w:tr>
        <w:trPr>
          <w:trHeight w:val="150"/>
        </w:trPr>
        <w:tc>
          <w:tcPr>
            <w:tcW w:w="510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Trading</w:t>
            </w:r>
          </w:p>
        </w:tc>
        <w:tc>
          <w:tcPr>
            <w:tcW w:w="5040" w:type="dxa"/>
            <w:vAlign w:val="bottom"/>
            <w:tcBorders>
              <w:right w:val="single" w:sz="8" w:color="auto"/>
            </w:tcBorders>
          </w:tcPr>
          <w:p>
            <w:pPr>
              <w:spacing w:after="0"/>
              <w:rPr>
                <w:sz w:val="13"/>
                <w:szCs w:val="13"/>
                <w:color w:val="auto"/>
              </w:rPr>
            </w:pPr>
          </w:p>
        </w:tc>
      </w:tr>
      <w:tr>
        <w:trPr>
          <w:trHeight w:val="23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4"/>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ADEA</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1F"/>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1F"/>
        </w:rPr>
        <w:t xml:space="preserve">Emerging growth company </w:t>
      </w:r>
      <w:r>
        <w:rPr>
          <w:rFonts w:ascii="MS PGothic" w:cs="MS PGothic" w:eastAsia="MS PGothic" w:hAnsi="MS PGothic"/>
          <w:sz w:val="16"/>
          <w:szCs w:val="16"/>
          <w:color w:val="231F1F"/>
        </w:rPr>
        <w:t>☐</w:t>
      </w:r>
    </w:p>
    <w:p>
      <w:pPr>
        <w:spacing w:after="0" w:line="2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231F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31F1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July 1, 2026, Adeia Inc. (the “Company” or “Adeia”) issued a press release announcing that its subsidiary filed a patent infringement litigation against FuboTV Inc. and certain of its subsidiaries. The press release is furnished hereto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or otherwise subject to the liabilities of Section 18. Furthermore, the information contained in Item 7.01, including Exhibit 99.1, of this report shall not be deemed to be incorporated by reference into any registration statement or other document filed pursuant to the Securities Act of 1933, as amended.</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tab/>
        <w:t>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r>
      <w:tr>
        <w:trPr>
          <w:trHeight w:val="385"/>
        </w:trPr>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July 1, 2026</w:t>
            </w:r>
          </w:p>
        </w:tc>
      </w:tr>
      <w:tr>
        <w:trPr>
          <w:trHeight w:val="20"/>
        </w:trPr>
        <w:tc>
          <w:tcPr>
            <w:tcW w:w="14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53"/>
        </w:trPr>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ADEIA INC.</w:t>
            </w:r>
          </w:p>
        </w:tc>
      </w:tr>
      <w:tr>
        <w:trPr>
          <w:trHeight w:val="432"/>
        </w:trPr>
        <w:tc>
          <w:tcPr>
            <w:tcW w:w="3480" w:type="dxa"/>
            <w:vAlign w:val="bottom"/>
          </w:tcPr>
          <w:p>
            <w:pPr>
              <w:spacing w:after="0"/>
              <w:rPr>
                <w:sz w:val="24"/>
                <w:szCs w:val="24"/>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228"/>
        </w:trPr>
        <w:tc>
          <w:tcPr>
            <w:tcW w:w="3480" w:type="dxa"/>
            <w:vAlign w:val="bottom"/>
          </w:tcPr>
          <w:p>
            <w:pPr>
              <w:spacing w:after="0"/>
              <w:rPr>
                <w:sz w:val="19"/>
                <w:szCs w:val="19"/>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Keith A. Jones</w:t>
            </w:r>
          </w:p>
        </w:tc>
      </w:tr>
      <w:tr>
        <w:trPr>
          <w:trHeight w:val="414"/>
        </w:trPr>
        <w:tc>
          <w:tcPr>
            <w:tcW w:w="3480" w:type="dxa"/>
            <w:vAlign w:val="bottom"/>
          </w:tcPr>
          <w:p>
            <w:pPr>
              <w:spacing w:after="0"/>
              <w:rPr>
                <w:sz w:val="24"/>
                <w:szCs w:val="24"/>
                <w:color w:val="auto"/>
              </w:rPr>
            </w:pPr>
          </w:p>
        </w:tc>
        <w:tc>
          <w:tcPr>
            <w:tcW w:w="28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4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tabs>
          <w:tab w:leader="none" w:pos="8480" w:val="left"/>
        </w:tabs>
        <w:rPr>
          <w:sz w:val="20"/>
          <w:szCs w:val="20"/>
          <w:color w:val="auto"/>
        </w:rPr>
      </w:pPr>
      <w:r>
        <w:rPr>
          <w:rFonts w:ascii="Times New Roman" w:cs="Times New Roman" w:eastAsia="Times New Roman" w:hAnsi="Times New Roman"/>
          <w:sz w:val="18"/>
          <w:szCs w:val="18"/>
          <w:b w:val="1"/>
          <w:bCs w:val="1"/>
          <w:color w:val="auto"/>
        </w:rPr>
        <w:t>FOR IMMEDIATE RELEASE</w:t>
      </w:r>
      <w:r>
        <w:rPr>
          <w:sz w:val="20"/>
          <w:szCs w:val="20"/>
          <w:color w:val="auto"/>
        </w:rPr>
        <w:tab/>
      </w: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19685</wp:posOffset>
            </wp:positionV>
            <wp:extent cx="1482725" cy="55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ADEIA INITIATES PATENT INFRINGEMENT LITIGATION AGAINST FUBO</w:t>
      </w:r>
    </w:p>
    <w:p>
      <w:pPr>
        <w:spacing w:after="0" w:line="3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July 1, 2026 — </w:t>
      </w:r>
      <w:r>
        <w:rPr>
          <w:rFonts w:ascii="Times New Roman" w:cs="Times New Roman" w:eastAsia="Times New Roman" w:hAnsi="Times New Roman"/>
          <w:sz w:val="18"/>
          <w:szCs w:val="18"/>
          <w:color w:val="auto"/>
        </w:rPr>
        <w:t>Adeia Inc. (Nasdaq: ADEA), the technology company whose innovations power next-generation media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experiences, today announced that its wholly owned subsidiary has filed a patent infringement lawsuit against FuboTV Inc. (NYSE: FUBO) and certain of its subsidiaries in the United States District Court for the District of Delaware.</w:t>
      </w:r>
    </w:p>
    <w:p>
      <w:pPr>
        <w:spacing w:after="0" w:line="2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committed to reaching a fair and mutually beneficial agreement through constructive engagement and good-faith negotiations,” said Paul E. Davis, chief executive officer of Adeia. “Our media technologies are broadly licensed across the pay-TV industry, and we remain open to a resolution with Fubo that appropriately recognizes the value of our innovations. We believe we were left with no choice but to file this lawsuit to protect our intellectual property which reflects decades of research, development and investment.”</w:t>
      </w:r>
    </w:p>
    <w:p>
      <w:pPr>
        <w:spacing w:after="0" w:line="2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its complaint, Adeia alleges that the Fubo defendants infringe four U.S. patents in Adeia’s media intellectual property (IP) portfolio. The asserted patents relate to technologies that enable key features of advanced media delivery and streaming experiences used by consumers across a broad range of video platforms.</w:t>
      </w:r>
    </w:p>
    <w:p>
      <w:pPr>
        <w:spacing w:after="0" w:line="2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Although Disney is a controlling shareholder of Fubo, Adeia’s previously announced settlement and license with Disney is separate and independent from the claims asserted in this lawsuit regarding Fubo’s unauthorized use of Adeia’s patented technologies. This lawsuit is a distinct matter between Adeia and Fubo.</w:t>
      </w:r>
    </w:p>
    <w:p>
      <w:pPr>
        <w:spacing w:after="0" w:line="2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Over the past four decades, Adeia and its predecessor companies have continuously invested in research and development, resulting in one of the world’s largest intellectual property portfolios comprised of more than 13,750 worldwide patent assets. Today, Adeia’s intellectual property is licensed by many of the world’s leading media, consumer electronics, streaming and semiconductor companies, reflecting the broad adoption and value of its innovations.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Adeia Inc.</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Adeia (Nasdaq: ADEA) is the technology company known for developing foundational innovations that enable next-generation solutions for the semiconductor and media industries. We invent and license foundational technologies that shape the future of digital entertainment, electronics, and high-performance computing. Our portfolio transforms technologies into an experience that is intelligent, immersive, and personal. For more, please visit www.adeia.com.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t>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in which the Company operates; our involvement in litigation and administrative proceedings to enforce or defend our IP rights;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 These risks, as well as other risks associated with the Company’s business, are more fully discussed in the Company’s filings with the U.S. Securities and Exchange Commission (“SEC”), including the Company’s Annual Report on Form 10-K and Quarterly Reports on Form 10-Q. While the list of factors presented here is, and the list of factors presented in the Company’s filings with the SEC are, considered representative, no such list should be considered to be a complete statement of all potential risks and uncertainties. Unlisted factors may present significant additional obstacles to the realization of forward-looking statements.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Causes of material differences in results as compared with those anticipated in the forward-looking statements could include, among other things, business disruption, operational problems, failure to complete licensing arrangements on anticipated terms and timeline, failure to prevail in litigation we may bring against third parties, including against FuboTV Inc. described herein, financial loss, legal liability to third parties and similar risks, the cost of litigation may exceed our current expectations, and failure to attract or retain employees, any of which could have a material adverse effect on the Company’s consolidated financial condition, results of operations, liquidity or trading price of common stock. The Company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Chaney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IR@adeia.com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Enerio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marketing@adeia.com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2026-07-01T07:08:42Z</dcterms:created>
  <dcterms:modified xsi:type="dcterms:W3CDTF">2026-07-01T07:08:42Z</dcterms:modified>
</cp:coreProperties>
</file>