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dea-20260507.htm"/>
      <w:bookmarkStart w:id="1" w:name="ksadea20260507"/>
      <w:bookmarkEnd w:id="0"/>
      <w:bookmarkEnd w:id="1"/>
      <w:r>
        <w:rPr/>
        <w:t> </w:t>
      </w:r>
    </w:p>
    <w:p>
      <w:pPr>
        <w:pStyle w:val="TextBody"/>
        <w:pBdr>
          <w:top w:val="single" w:sz="6" w:space="1" w:color="000000"/>
          <w:bottom w:val="single" w:sz="6" w:space="1" w:color="000000"/>
        </w:pBdr>
        <w:bidi w:val="0"/>
        <w:jc w:val="left"/>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OF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May 7, 2026</w:t>
      </w:r>
    </w:p>
    <w:p>
      <w:pPr>
        <w:pStyle w:val="TextBody"/>
        <w:pBdr>
          <w:bottom w:val="single" w:sz="4" w:space="1" w:color="000000"/>
        </w:pBdr>
        <w:bidi w:val="0"/>
        <w:spacing w:before="0" w:after="180"/>
        <w:jc w:val="center"/>
        <w:rPr/>
      </w:pPr>
      <w:r>
        <w:rPr/>
        <w:t> </w:t>
      </w:r>
    </w:p>
    <w:p>
      <w:pPr>
        <w:pStyle w:val="TextBody"/>
        <w:bidi w:val="0"/>
        <w:jc w:val="center"/>
        <w:rPr>
          <w:rFonts w:ascii="Times New Roman" w:hAnsi="Times New Roman"/>
          <w:b/>
          <w:color w:val="000000"/>
          <w:sz w:val="42"/>
        </w:rPr>
      </w:pPr>
      <w:r>
        <w:rPr>
          <w:rFonts w:ascii="Times New Roman" w:hAnsi="Times New Roman"/>
          <w:b/>
          <w:color w:val="000000"/>
          <w:sz w:val="42"/>
        </w:rPr>
        <w:t>ADEIA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tbl>
      <w:tblPr>
        <w:tblW w:w="5576" w:type="dxa"/>
        <w:jc w:val="left"/>
        <w:tblInd w:w="0" w:type="dxa"/>
        <w:tblLayout w:type="fixed"/>
        <w:tblCellMar>
          <w:top w:w="28" w:type="dxa"/>
          <w:left w:w="28" w:type="dxa"/>
          <w:bottom w:w="28" w:type="dxa"/>
          <w:right w:w="28" w:type="dxa"/>
        </w:tblCellMar>
      </w:tblPr>
      <w:tblGrid>
        <w:gridCol w:w="2446"/>
        <w:gridCol w:w="109"/>
        <w:gridCol w:w="1231"/>
        <w:gridCol w:w="109"/>
        <w:gridCol w:w="1681"/>
      </w:tblGrid>
      <w:tr>
        <w:trPr/>
        <w:tc>
          <w:tcPr>
            <w:tcW w:w="2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84-4734590</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(Commission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Identification No.)</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3025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California</w:t>
      </w:r>
      <w:r>
        <w:rPr>
          <w:rFonts w:ascii="Times New Roman" w:hAnsi="Times New Roman"/>
          <w:color w:val="000000"/>
          <w:sz w:val="20"/>
        </w:rPr>
        <w:t xml:space="preserve"> </w:t>
      </w:r>
      <w:r>
        <w:rPr>
          <w:rFonts w:ascii="Times New Roman" w:hAnsi="Times New Roman"/>
          <w:b/>
          <w:color w:val="000000"/>
          <w:sz w:val="20"/>
        </w:rPr>
        <w:t>95134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(Address of Principal Executive Offices, including Zip Code)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(408) 473-2500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p>
    <w:p>
      <w:pPr>
        <w:pStyle w:val="TextBody"/>
        <w:pBdr>
          <w:bottom w:val="single" w:sz="4" w:space="1" w:color="000000"/>
        </w:pBdr>
        <w:bidi w:val="0"/>
        <w:spacing w:before="0" w:after="180"/>
        <w:jc w:val="center"/>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Securities registered pursuant to Section 12(b) of the Act: </w:t>
      </w:r>
    </w:p>
    <w:p>
      <w:pPr>
        <w:pStyle w:val="TextBody"/>
        <w:bidi w:val="0"/>
        <w:jc w:val="left"/>
        <w:rPr/>
      </w:pPr>
      <w:r>
        <w:rPr/>
        <w:t> </w:t>
      </w:r>
    </w:p>
    <w:tbl>
      <w:tblPr>
        <w:tblW w:w="9198" w:type="dxa"/>
        <w:jc w:val="left"/>
        <w:tblInd w:w="0" w:type="dxa"/>
        <w:tblLayout w:type="fixed"/>
        <w:tblCellMar>
          <w:top w:w="28" w:type="dxa"/>
          <w:left w:w="28" w:type="dxa"/>
          <w:bottom w:w="28" w:type="dxa"/>
          <w:right w:w="28" w:type="dxa"/>
        </w:tblCellMar>
      </w:tblPr>
      <w:tblGrid>
        <w:gridCol w:w="3676"/>
        <w:gridCol w:w="169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7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ADEA</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231F1F"/>
          <w:sz w:val="20"/>
        </w:rPr>
      </w:pPr>
      <w:r>
        <w:rPr>
          <w:rFonts w:ascii="Times New Roman" w:hAnsi="Times New Roman"/>
          <w:color w:val="231F1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231F1F"/>
          <w:sz w:val="20"/>
        </w:rPr>
      </w:pPr>
      <w:r>
        <w:rPr>
          <w:rFonts w:ascii="Times New Roman" w:hAnsi="Times New Roman"/>
          <w:color w:val="231F1F"/>
          <w:sz w:val="20"/>
        </w:rPr>
        <w:t>Emerging growth company ☐</w:t>
      </w:r>
    </w:p>
    <w:p>
      <w:pPr>
        <w:pStyle w:val="TextBody"/>
        <w:bidi w:val="0"/>
        <w:spacing w:before="240" w:after="283"/>
        <w:jc w:val="left"/>
        <w:rPr>
          <w:rFonts w:ascii="Times New Roman" w:hAnsi="Times New Roman"/>
          <w:color w:val="231F1F"/>
          <w:sz w:val="20"/>
        </w:rPr>
      </w:pPr>
      <w:r>
        <w:rPr>
          <w:rFonts w:ascii="Times New Roman" w:hAnsi="Times New Roman"/>
          <w:color w:val="231F1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pBdr>
          <w:top w:val="single" w:sz="6" w:space="1" w:color="000000"/>
          <w:bottom w:val="sing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2026 Annual Meeting of Stockholders of Adeia Inc. (the “Company”) held on May 7, 2026, the following proposals were approved by the stockholders of the Company: (i) to elect seven (7) members of the Board of Directors to hold office until the next annual meeting or until their successors are duly elected and qualified; (ii) to hold an advisory vote to approve the compensation of our named executive officers as described in this proxy statement; (iii) to approve an amendment to the Amended and Restated 2020 Equity Incentive Plan to increase the number of shares reserved for issuance by an additional 10,700,000 shares of common stock; and (iv) to ratify the appointment of PricewaterhouseCoopers LLP as the independent registered public accounting firm of the Company for the year ending December 31, 2026, each by the votes set forth below:</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Proposal 1 – Election of Directors:</w:t>
      </w:r>
    </w:p>
    <w:tbl>
      <w:tblPr>
        <w:tblW w:w="5855" w:type="dxa"/>
        <w:jc w:val="left"/>
        <w:tblInd w:w="0" w:type="dxa"/>
        <w:tblLayout w:type="fixed"/>
        <w:tblCellMar>
          <w:top w:w="28" w:type="dxa"/>
          <w:left w:w="28" w:type="dxa"/>
          <w:bottom w:w="28" w:type="dxa"/>
          <w:right w:w="28" w:type="dxa"/>
        </w:tblCellMar>
      </w:tblPr>
      <w:tblGrid>
        <w:gridCol w:w="1681"/>
        <w:gridCol w:w="1036"/>
        <w:gridCol w:w="781"/>
        <w:gridCol w:w="751"/>
        <w:gridCol w:w="1606"/>
      </w:tblGrid>
      <w:tr>
        <w:trPr/>
        <w:tc>
          <w:tcPr>
            <w:tcW w:w="168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Director</w:t>
            </w:r>
          </w:p>
        </w:tc>
        <w:tc>
          <w:tcPr>
            <w:tcW w:w="103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7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E. Davis</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96,135,328</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118,425</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26,063</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 Sue Molina</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95,802,114</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427,828</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49,874</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Moloney</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95,409,283</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843,983</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26,550</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Tonia O'Connor</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95,500,991</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736,669</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42,156</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Adam Rymer</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96,171,570</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82,242</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26,004</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Phylis Turner-Brim</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95,491,799</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762,118</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25,899</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r>
        <w:trPr/>
        <w:tc>
          <w:tcPr>
            <w:tcW w:w="168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Sandeep Vij</w:t>
            </w:r>
          </w:p>
        </w:tc>
        <w:tc>
          <w:tcPr>
            <w:tcW w:w="103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95,667,363</w:t>
            </w:r>
          </w:p>
        </w:tc>
        <w:tc>
          <w:tcPr>
            <w:tcW w:w="7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570,749</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41,704</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Proposal 2 – Advisory Vote to Approve Named Executive Officer Compensation:</w:t>
      </w:r>
    </w:p>
    <w:tbl>
      <w:tblPr>
        <w:tblW w:w="4339" w:type="dxa"/>
        <w:jc w:val="left"/>
        <w:tblInd w:w="0" w:type="dxa"/>
        <w:tblLayout w:type="fixed"/>
        <w:tblCellMar>
          <w:top w:w="28" w:type="dxa"/>
          <w:left w:w="28" w:type="dxa"/>
          <w:bottom w:w="28" w:type="dxa"/>
          <w:right w:w="28" w:type="dxa"/>
        </w:tblCellMar>
      </w:tblPr>
      <w:tblGrid>
        <w:gridCol w:w="1051"/>
        <w:gridCol w:w="931"/>
        <w:gridCol w:w="75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9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w:t>
            </w:r>
          </w:p>
        </w:tc>
      </w:tr>
      <w:tr>
        <w:trPr/>
        <w:tc>
          <w:tcPr>
            <w:tcW w:w="10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94,464,253</w:t>
            </w:r>
          </w:p>
        </w:tc>
        <w:tc>
          <w:tcPr>
            <w:tcW w:w="9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1,774,851</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40,712</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Proposal 3 – Approval of an Amendment to the Amended and Restated 2020 Equity Incentive Plan</w:t>
      </w:r>
    </w:p>
    <w:tbl>
      <w:tblPr>
        <w:tblW w:w="4339" w:type="dxa"/>
        <w:jc w:val="left"/>
        <w:tblInd w:w="0" w:type="dxa"/>
        <w:tblLayout w:type="fixed"/>
        <w:tblCellMar>
          <w:top w:w="28" w:type="dxa"/>
          <w:left w:w="28" w:type="dxa"/>
          <w:bottom w:w="28" w:type="dxa"/>
          <w:right w:w="28" w:type="dxa"/>
        </w:tblCellMar>
      </w:tblPr>
      <w:tblGrid>
        <w:gridCol w:w="1051"/>
        <w:gridCol w:w="931"/>
        <w:gridCol w:w="751"/>
        <w:gridCol w:w="1606"/>
      </w:tblGrid>
      <w:tr>
        <w:trPr/>
        <w:tc>
          <w:tcPr>
            <w:tcW w:w="10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05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9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5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60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w:t>
            </w:r>
          </w:p>
        </w:tc>
      </w:tr>
      <w:tr>
        <w:trPr/>
        <w:tc>
          <w:tcPr>
            <w:tcW w:w="105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92,842,214</w:t>
            </w:r>
          </w:p>
        </w:tc>
        <w:tc>
          <w:tcPr>
            <w:tcW w:w="9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3,399,879</w:t>
            </w:r>
          </w:p>
        </w:tc>
        <w:tc>
          <w:tcPr>
            <w:tcW w:w="7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37,723</w:t>
            </w:r>
          </w:p>
        </w:tc>
        <w:tc>
          <w:tcPr>
            <w:tcW w:w="16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8,281,349</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Proposal 4 – Ratification of Appointment of Independent Registered Public Accounting Firm:</w:t>
      </w:r>
    </w:p>
    <w:tbl>
      <w:tblPr>
        <w:tblW w:w="2883" w:type="dxa"/>
        <w:jc w:val="left"/>
        <w:tblInd w:w="0" w:type="dxa"/>
        <w:tblLayout w:type="fixed"/>
        <w:tblCellMar>
          <w:top w:w="28" w:type="dxa"/>
          <w:left w:w="28" w:type="dxa"/>
          <w:bottom w:w="28" w:type="dxa"/>
          <w:right w:w="28" w:type="dxa"/>
        </w:tblCellMar>
      </w:tblPr>
      <w:tblGrid>
        <w:gridCol w:w="1156"/>
        <w:gridCol w:w="931"/>
        <w:gridCol w:w="796"/>
      </w:tblGrid>
      <w:tr>
        <w:trPr/>
        <w:tc>
          <w:tcPr>
            <w:tcW w:w="11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1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93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7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r>
      <w:tr>
        <w:trPr/>
        <w:tc>
          <w:tcPr>
            <w:tcW w:w="11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102,595,650</w:t>
            </w:r>
          </w:p>
        </w:tc>
        <w:tc>
          <w:tcPr>
            <w:tcW w:w="93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1,942,187</w:t>
            </w:r>
          </w:p>
        </w:tc>
        <w:tc>
          <w:tcPr>
            <w:tcW w:w="7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23,328</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(d) Exhibits.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4716" w:type="dxa"/>
        <w:jc w:val="left"/>
        <w:tblInd w:w="0" w:type="dxa"/>
        <w:tblLayout w:type="fixed"/>
        <w:tblCellMar>
          <w:top w:w="28" w:type="dxa"/>
          <w:left w:w="28" w:type="dxa"/>
          <w:bottom w:w="28" w:type="dxa"/>
          <w:right w:w="28" w:type="dxa"/>
        </w:tblCellMar>
      </w:tblPr>
      <w:tblGrid>
        <w:gridCol w:w="1636"/>
        <w:gridCol w:w="146"/>
        <w:gridCol w:w="146"/>
        <w:gridCol w:w="631"/>
        <w:gridCol w:w="146"/>
        <w:gridCol w:w="20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aps/>
                <w:color w:val="000000"/>
                <w:sz w:val="20"/>
              </w:rPr>
            </w:pPr>
            <w:r>
              <w:rPr>
                <w:rFonts w:ascii="Times New Roman" w:hAnsi="Times New Roman"/>
                <w:b/>
                <w:caps/>
                <w:color w:val="000000"/>
                <w:sz w:val="20"/>
              </w:rPr>
              <w:t>ADEIA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Jones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Jones</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3545</Characters>
  <CharactersWithSpaces>4115</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