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adea-20260507.htm"/>
      <w:bookmarkStart w:id="1" w:name="ksadea20260507"/>
      <w:bookmarkEnd w:id="0"/>
      <w:bookmarkEnd w:id="1"/>
      <w:r>
        <w:rPr>
          <w:rFonts w:ascii="Times New Roman" w:hAnsi="Times New Roman"/>
          <w:color w:val="000000"/>
          <w:sz w:val="18"/>
        </w:rPr>
        <w:t>As filed with the Securities and Exchange Commission on May 8, 2026</w:t>
      </w:r>
      <w:r>
        <w:rPr>
          <w:rFonts w:ascii="Times New Roman" w:hAnsi="Times New Roman"/>
          <w:color w:val="000000"/>
          <w:sz w:val="20"/>
        </w:rPr>
        <w:t xml:space="preserve"> </w:t>
      </w:r>
    </w:p>
    <w:p>
      <w:pPr>
        <w:pStyle w:val="TextBody"/>
        <w:bidi w:val="0"/>
        <w:jc w:val="right"/>
        <w:rPr>
          <w:rFonts w:ascii="Times New Roman" w:hAnsi="Times New Roman"/>
          <w:color w:val="000000"/>
          <w:sz w:val="18"/>
        </w:rPr>
      </w:pPr>
      <w:r>
        <w:rPr>
          <w:rFonts w:ascii="Times New Roman" w:hAnsi="Times New Roman"/>
          <w:color w:val="000000"/>
          <w:sz w:val="18"/>
        </w:rPr>
        <w:t>Registration No. 333-</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spacing w:before="0" w:after="40"/>
        <w:jc w:val="center"/>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FORM S-8</w:t>
      </w:r>
    </w:p>
    <w:p>
      <w:pPr>
        <w:pStyle w:val="TextBody"/>
        <w:bidi w:val="0"/>
        <w:jc w:val="center"/>
        <w:rPr>
          <w:rFonts w:ascii="Times New Roman" w:hAnsi="Times New Roman"/>
          <w:b/>
          <w:color w:val="000000"/>
          <w:sz w:val="28"/>
        </w:rPr>
      </w:pPr>
      <w:r>
        <w:rPr>
          <w:rFonts w:ascii="Times New Roman" w:hAnsi="Times New Roman"/>
          <w:b/>
          <w:color w:val="000000"/>
          <w:sz w:val="28"/>
        </w:rPr>
        <w:t>REGISTRATION STATEMENT</w:t>
      </w:r>
    </w:p>
    <w:p>
      <w:pPr>
        <w:pStyle w:val="TextBody"/>
        <w:bidi w:val="0"/>
        <w:jc w:val="center"/>
        <w:rPr>
          <w:rFonts w:ascii="Times New Roman" w:hAnsi="Times New Roman"/>
          <w:sz w:val="20"/>
        </w:rPr>
      </w:pPr>
      <w:r>
        <w:rPr>
          <w:rFonts w:ascii="Times New Roman" w:hAnsi="Times New Roman"/>
          <w:b/>
          <w:i/>
          <w:color w:val="000000"/>
          <w:sz w:val="20"/>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THE SECURITIES ACT OF 1933</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ADEIA INC.</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296" w:type="dxa"/>
        <w:jc w:val="left"/>
        <w:tblInd w:w="0" w:type="dxa"/>
        <w:tblLayout w:type="fixed"/>
        <w:tblCellMar>
          <w:top w:w="28" w:type="dxa"/>
          <w:left w:w="28" w:type="dxa"/>
          <w:bottom w:w="28" w:type="dxa"/>
          <w:right w:w="28" w:type="dxa"/>
        </w:tblCellMar>
      </w:tblPr>
      <w:tblGrid>
        <w:gridCol w:w="2371"/>
        <w:gridCol w:w="109"/>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81-4734590</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spacing w:before="120" w:after="283"/>
        <w:jc w:val="center"/>
        <w:rPr>
          <w:rFonts w:ascii="Times New Roman" w:hAnsi="Times New Roman"/>
          <w:sz w:val="20"/>
        </w:rPr>
      </w:pPr>
      <w:r>
        <w:rPr>
          <w:rFonts w:ascii="Times New Roman" w:hAnsi="Times New Roman"/>
          <w:b/>
          <w:color w:val="000000"/>
          <w:sz w:val="17"/>
        </w:rPr>
        <w:t>3025 Orchard Parkway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San Jose, California 95134</w:t>
      </w:r>
      <w:r>
        <w:rPr>
          <w:rFonts w:ascii="Times New Roman" w:hAnsi="Times New Roman"/>
          <w:color w:val="000000"/>
          <w:sz w:val="20"/>
        </w:rPr>
        <w:t xml:space="preserve"> </w:t>
      </w:r>
    </w:p>
    <w:p>
      <w:pPr>
        <w:pStyle w:val="TextBody"/>
        <w:bidi w:val="0"/>
        <w:jc w:val="center"/>
        <w:rPr>
          <w:rFonts w:ascii="Times New Roman" w:hAnsi="Times New Roman"/>
          <w:b/>
          <w:color w:val="000000"/>
          <w:sz w:val="17"/>
        </w:rPr>
      </w:pPr>
      <w:r>
        <w:rPr>
          <w:rFonts w:ascii="Times New Roman" w:hAnsi="Times New Roman"/>
          <w:b/>
          <w:color w:val="000000"/>
          <w:sz w:val="17"/>
        </w:rPr>
        <w:t>(408) 473-2500</w:t>
      </w:r>
    </w:p>
    <w:p>
      <w:pPr>
        <w:pStyle w:val="TextBody"/>
        <w:bidi w:val="0"/>
        <w:jc w:val="center"/>
        <w:rPr>
          <w:rFonts w:ascii="Times New Roman" w:hAnsi="Times New Roman"/>
          <w:sz w:val="20"/>
        </w:rPr>
      </w:pPr>
      <w:r>
        <w:rPr>
          <w:rFonts w:ascii="Times New Roman" w:hAnsi="Times New Roman"/>
          <w:b/>
          <w:color w:val="000000"/>
          <w:sz w:val="17"/>
        </w:rPr>
        <w:t>(Address, including zip code, and telephone number,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including area code, of principal executive offices)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7"/>
        </w:rPr>
      </w:pPr>
      <w:r>
        <w:rPr>
          <w:rFonts w:ascii="Times New Roman" w:hAnsi="Times New Roman"/>
          <w:b/>
          <w:color w:val="000000"/>
          <w:sz w:val="17"/>
        </w:rPr>
        <w:t>Adeia Inc. Amended and Restated 2020 Equity Incentive Plan</w:t>
      </w:r>
    </w:p>
    <w:p>
      <w:pPr>
        <w:pStyle w:val="TextBody"/>
        <w:bidi w:val="0"/>
        <w:jc w:val="center"/>
        <w:rPr>
          <w:rFonts w:ascii="Times New Roman" w:hAnsi="Times New Roman"/>
          <w:sz w:val="20"/>
        </w:rPr>
      </w:pPr>
      <w:r>
        <w:rPr>
          <w:rFonts w:ascii="Times New Roman" w:hAnsi="Times New Roman"/>
          <w:b/>
          <w:color w:val="000000"/>
          <w:sz w:val="17"/>
        </w:rPr>
        <w:t>(Full title of the Plan)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17"/>
        </w:rPr>
      </w:pPr>
      <w:r>
        <w:rPr>
          <w:rFonts w:ascii="Times New Roman" w:hAnsi="Times New Roman"/>
          <w:b/>
          <w:color w:val="000000"/>
          <w:sz w:val="17"/>
        </w:rPr>
        <w:t>Kevin Tanji, Esq.</w:t>
      </w:r>
    </w:p>
    <w:p>
      <w:pPr>
        <w:pStyle w:val="TextBody"/>
        <w:bidi w:val="0"/>
        <w:jc w:val="center"/>
        <w:rPr>
          <w:rFonts w:ascii="Times New Roman" w:hAnsi="Times New Roman"/>
          <w:b/>
          <w:color w:val="000000"/>
          <w:sz w:val="17"/>
        </w:rPr>
      </w:pPr>
      <w:r>
        <w:rPr>
          <w:rFonts w:ascii="Times New Roman" w:hAnsi="Times New Roman"/>
          <w:b/>
          <w:color w:val="000000"/>
          <w:sz w:val="17"/>
        </w:rPr>
        <w:t>Chief Legal Officer</w:t>
      </w:r>
    </w:p>
    <w:p>
      <w:pPr>
        <w:pStyle w:val="TextBody"/>
        <w:bidi w:val="0"/>
        <w:jc w:val="center"/>
        <w:rPr>
          <w:rFonts w:ascii="Times New Roman" w:hAnsi="Times New Roman"/>
          <w:b/>
          <w:color w:val="000000"/>
          <w:sz w:val="17"/>
        </w:rPr>
      </w:pPr>
      <w:r>
        <w:rPr>
          <w:rFonts w:ascii="Times New Roman" w:hAnsi="Times New Roman"/>
          <w:b/>
          <w:color w:val="000000"/>
          <w:sz w:val="17"/>
        </w:rPr>
        <w:t>Adeia Inc.</w:t>
      </w:r>
    </w:p>
    <w:p>
      <w:pPr>
        <w:pStyle w:val="TextBody"/>
        <w:bidi w:val="0"/>
        <w:jc w:val="center"/>
        <w:rPr>
          <w:rFonts w:ascii="Times New Roman" w:hAnsi="Times New Roman"/>
          <w:sz w:val="20"/>
        </w:rPr>
      </w:pPr>
      <w:r>
        <w:rPr>
          <w:rFonts w:ascii="Times New Roman" w:hAnsi="Times New Roman"/>
          <w:b/>
          <w:color w:val="000000"/>
          <w:sz w:val="17"/>
        </w:rPr>
        <w:t>3025 Orchard Parkway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San Jose, California 95134</w:t>
      </w:r>
      <w:r>
        <w:rPr>
          <w:rFonts w:ascii="Times New Roman" w:hAnsi="Times New Roman"/>
          <w:color w:val="000000"/>
          <w:sz w:val="20"/>
        </w:rPr>
        <w:t xml:space="preserve"> </w:t>
      </w:r>
    </w:p>
    <w:p>
      <w:pPr>
        <w:pStyle w:val="TextBody"/>
        <w:bidi w:val="0"/>
        <w:jc w:val="center"/>
        <w:rPr>
          <w:rFonts w:ascii="Times New Roman" w:hAnsi="Times New Roman"/>
          <w:b/>
          <w:color w:val="000000"/>
          <w:sz w:val="17"/>
        </w:rPr>
      </w:pPr>
      <w:r>
        <w:rPr>
          <w:rFonts w:ascii="Times New Roman" w:hAnsi="Times New Roman"/>
          <w:b/>
          <w:color w:val="000000"/>
          <w:sz w:val="17"/>
        </w:rPr>
        <w:t>(408) 473-2500</w:t>
      </w:r>
    </w:p>
    <w:p>
      <w:pPr>
        <w:pStyle w:val="TextBody"/>
        <w:bidi w:val="0"/>
        <w:jc w:val="center"/>
        <w:rPr>
          <w:rFonts w:ascii="Times New Roman" w:hAnsi="Times New Roman"/>
          <w:sz w:val="20"/>
        </w:rPr>
      </w:pPr>
      <w:r>
        <w:rPr>
          <w:rFonts w:ascii="Times New Roman" w:hAnsi="Times New Roman"/>
          <w:b/>
          <w:color w:val="000000"/>
          <w:sz w:val="17"/>
        </w:rPr>
        <w:t>(Name and address, including zip code, and telephone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number, including area code, of agent for service)</w:t>
      </w:r>
      <w:r>
        <w:rPr>
          <w:rFonts w:ascii="Times New Roman" w:hAnsi="Times New Roman"/>
          <w:color w:val="000000"/>
          <w:sz w:val="20"/>
        </w:rPr>
        <w:t xml:space="preserve"> </w:t>
      </w:r>
    </w:p>
    <w:p>
      <w:pPr>
        <w:pStyle w:val="TextBody"/>
        <w:bidi w:val="0"/>
        <w:spacing w:before="120" w:after="283"/>
        <w:jc w:val="center"/>
        <w:rPr>
          <w:rFonts w:ascii="Times New Roman" w:hAnsi="Times New Roman"/>
          <w:b/>
          <w:i/>
          <w:color w:val="000000"/>
          <w:sz w:val="17"/>
        </w:rPr>
      </w:pPr>
      <w:r>
        <w:rPr>
          <w:rFonts w:ascii="Times New Roman" w:hAnsi="Times New Roman"/>
          <w:b/>
          <w:i/>
          <w:color w:val="000000"/>
          <w:sz w:val="17"/>
        </w:rPr>
        <w:t>Copies to:</w:t>
      </w:r>
    </w:p>
    <w:p>
      <w:pPr>
        <w:pStyle w:val="TextBody"/>
        <w:bidi w:val="0"/>
        <w:jc w:val="center"/>
        <w:rPr>
          <w:rFonts w:ascii="Times New Roman" w:hAnsi="Times New Roman"/>
          <w:b/>
          <w:color w:val="000000"/>
          <w:sz w:val="17"/>
        </w:rPr>
      </w:pPr>
      <w:r>
        <w:rPr>
          <w:rFonts w:ascii="Times New Roman" w:hAnsi="Times New Roman"/>
          <w:b/>
          <w:color w:val="000000"/>
          <w:sz w:val="17"/>
        </w:rPr>
        <w:t>Sarah K. Solum</w:t>
      </w:r>
    </w:p>
    <w:p>
      <w:pPr>
        <w:pStyle w:val="TextBody"/>
        <w:bidi w:val="0"/>
        <w:jc w:val="center"/>
        <w:rPr>
          <w:rFonts w:ascii="Times New Roman" w:hAnsi="Times New Roman"/>
          <w:b/>
          <w:color w:val="000000"/>
          <w:sz w:val="17"/>
        </w:rPr>
      </w:pPr>
      <w:r>
        <w:rPr>
          <w:rFonts w:ascii="Times New Roman" w:hAnsi="Times New Roman"/>
          <w:b/>
          <w:color w:val="000000"/>
          <w:sz w:val="17"/>
        </w:rPr>
        <w:t>Shira Oyserman</w:t>
      </w:r>
    </w:p>
    <w:p>
      <w:pPr>
        <w:pStyle w:val="TextBody"/>
        <w:bidi w:val="0"/>
        <w:jc w:val="center"/>
        <w:rPr>
          <w:rFonts w:ascii="Times New Roman" w:hAnsi="Times New Roman"/>
          <w:b/>
          <w:color w:val="000000"/>
          <w:sz w:val="17"/>
        </w:rPr>
      </w:pPr>
      <w:r>
        <w:rPr>
          <w:rFonts w:ascii="Times New Roman" w:hAnsi="Times New Roman"/>
          <w:b/>
          <w:color w:val="000000"/>
          <w:sz w:val="17"/>
        </w:rPr>
        <w:t>Freshfields US LLP</w:t>
      </w:r>
    </w:p>
    <w:p>
      <w:pPr>
        <w:pStyle w:val="TextBody"/>
        <w:bidi w:val="0"/>
        <w:jc w:val="center"/>
        <w:rPr>
          <w:rFonts w:ascii="Times New Roman" w:hAnsi="Times New Roman"/>
          <w:b/>
          <w:color w:val="000000"/>
          <w:sz w:val="17"/>
        </w:rPr>
      </w:pPr>
      <w:r>
        <w:rPr>
          <w:rFonts w:ascii="Times New Roman" w:hAnsi="Times New Roman"/>
          <w:b/>
          <w:color w:val="000000"/>
          <w:sz w:val="17"/>
        </w:rPr>
        <w:t>855 Main Street</w:t>
      </w:r>
    </w:p>
    <w:p>
      <w:pPr>
        <w:pStyle w:val="TextBody"/>
        <w:bidi w:val="0"/>
        <w:jc w:val="center"/>
        <w:rPr>
          <w:rFonts w:ascii="Times New Roman" w:hAnsi="Times New Roman"/>
          <w:sz w:val="20"/>
        </w:rPr>
      </w:pPr>
      <w:r>
        <w:rPr>
          <w:rFonts w:ascii="Times New Roman" w:hAnsi="Times New Roman"/>
          <w:b/>
          <w:color w:val="000000"/>
          <w:sz w:val="17"/>
        </w:rPr>
        <w:t>Redwood City, California 94063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(650) 618-9520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8041" w:type="dxa"/>
        <w:jc w:val="left"/>
        <w:tblInd w:w="0" w:type="dxa"/>
        <w:tblLayout w:type="fixed"/>
        <w:tblCellMar>
          <w:top w:w="28" w:type="dxa"/>
          <w:left w:w="28" w:type="dxa"/>
          <w:bottom w:w="28" w:type="dxa"/>
          <w:right w:w="28" w:type="dxa"/>
        </w:tblCellMar>
      </w:tblPr>
      <w:tblGrid>
        <w:gridCol w:w="1666"/>
        <w:gridCol w:w="109"/>
        <w:gridCol w:w="3646"/>
        <w:gridCol w:w="109"/>
        <w:gridCol w:w="2041"/>
        <w:gridCol w:w="109"/>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18"/>
              </w:rPr>
              <w:t>(Do not check if a 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Registration Statement is being filed by Adeia Inc. (the “Registrant”) with the Securities and Exchange Commission (the “Commission” or “SEC”) for the purpose of registering an additional 10,700,000 shares of common stock, $0.001 par value per share (the “Common Stock”) under the Adeia Inc. Amended and Restated 2020 Equity Incentive Plan (the “Amended and Restated 2020 Equity Incentive Plan”). These additional shares of Common Stock are additional securities of the same class as other securities for which an original registration statement (File No. 333-238846) on Form S-8 was filed with the Commission on June 1, 2020 and additional registration statements (File No. 333-264591 and File No. 333-279270) on Form S-8 were filed with the Commission on April 29, 2022 and May 9, 2024, respectively. Pursuant to General Instruction E to Form S-8, the contents of such earlier registration statements, where applicable, are incorporated by reference into this Registration Statement, except that the provisions contained in Part II of such earlier registration statements are modified as set forth in this Registration Statement.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documents previously filed by the Registrant with the Commission are incorporated by reference into this Registration Statement:</w:t>
      </w:r>
    </w:p>
    <w:tbl>
      <w:tblPr>
        <w:tblW w:w="10205" w:type="dxa"/>
        <w:jc w:val="left"/>
        <w:tblInd w:w="0" w:type="dxa"/>
        <w:tblLayout w:type="fixed"/>
        <w:tblCellMar>
          <w:top w:w="28" w:type="dxa"/>
          <w:left w:w="28" w:type="dxa"/>
          <w:bottom w:w="28" w:type="dxa"/>
          <w:right w:w="28" w:type="dxa"/>
        </w:tblCellMar>
      </w:tblPr>
      <w:tblGrid>
        <w:gridCol w:w="161"/>
        <w:gridCol w:w="294"/>
        <w:gridCol w:w="9750"/>
      </w:tblGrid>
      <w:tr>
        <w:trPr/>
        <w:tc>
          <w:tcPr>
            <w:tcW w:w="16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5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w:t>
            </w:r>
          </w:p>
        </w:tc>
        <w:tc>
          <w:tcPr>
            <w:tcW w:w="9750" w:type="dxa"/>
            <w:tcBorders/>
            <w:tcMar>
              <w:top w:w="0" w:type="dxa"/>
              <w:left w:w="0" w:type="dxa"/>
              <w:bottom w:w="0" w:type="dxa"/>
              <w:right w:w="0" w:type="dxa"/>
            </w:tcMar>
            <w:vAlign w:val="center"/>
          </w:tcPr>
          <w:p>
            <w:pPr>
              <w:pStyle w:val="TableContents"/>
              <w:bidi w:val="0"/>
              <w:jc w:val="left"/>
              <w:rPr/>
            </w:pPr>
            <w:r>
              <w:rPr>
                <w:rFonts w:ascii="Times New Roman" w:hAnsi="Times New Roman"/>
                <w:color w:val="000000"/>
                <w:sz w:val="20"/>
              </w:rPr>
              <w:t xml:space="preserve">The Registrant’s Annual Report on Form </w:t>
            </w:r>
            <w:hyperlink r:id="rId2">
              <w:r>
                <w:rPr>
                  <w:rStyle w:val="InternetLink"/>
                  <w:rFonts w:ascii="Times New Roman" w:hAnsi="Times New Roman"/>
                  <w:color w:val="0000FF"/>
                  <w:sz w:val="20"/>
                  <w:u w:val="single"/>
                </w:rPr>
                <w:t>10-K</w:t>
              </w:r>
            </w:hyperlink>
            <w:r>
              <w:rPr>
                <w:rFonts w:ascii="Times New Roman" w:hAnsi="Times New Roman"/>
                <w:color w:val="000000"/>
                <w:sz w:val="20"/>
              </w:rPr>
              <w:t> for the fiscal year ended December 31, 2025, filed with the Commission pursuant to Section 13(a) or 15(d) of the Securities Exchange Act of 1934, on February 26, 2026 (the “2025 10-K”);</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294"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w:t>
            </w:r>
          </w:p>
        </w:tc>
        <w:tc>
          <w:tcPr>
            <w:tcW w:w="9750" w:type="dxa"/>
            <w:tcBorders/>
            <w:tcMar>
              <w:top w:w="0" w:type="dxa"/>
              <w:left w:w="0" w:type="dxa"/>
              <w:bottom w:w="0" w:type="dxa"/>
              <w:right w:w="0" w:type="dxa"/>
            </w:tcMar>
            <w:vAlign w:val="center"/>
          </w:tcPr>
          <w:p>
            <w:pPr>
              <w:pStyle w:val="TableContents"/>
              <w:bidi w:val="0"/>
              <w:jc w:val="left"/>
              <w:rPr/>
            </w:pPr>
            <w:r>
              <w:rPr>
                <w:rFonts w:ascii="Times New Roman" w:hAnsi="Times New Roman"/>
                <w:color w:val="000000"/>
                <w:sz w:val="20"/>
              </w:rPr>
              <w:t xml:space="preserve">The Registrant’s Quarterly Report on Form </w:t>
            </w:r>
            <w:hyperlink r:id="rId3">
              <w:r>
                <w:rPr>
                  <w:rStyle w:val="InternetLink"/>
                  <w:rFonts w:ascii="Times New Roman" w:hAnsi="Times New Roman"/>
                  <w:color w:val="0000FF"/>
                  <w:sz w:val="20"/>
                  <w:u w:val="single"/>
                </w:rPr>
                <w:t>10-Q</w:t>
              </w:r>
            </w:hyperlink>
            <w:r>
              <w:rPr>
                <w:rFonts w:ascii="Times New Roman" w:hAnsi="Times New Roman"/>
                <w:color w:val="000000"/>
                <w:sz w:val="20"/>
              </w:rPr>
              <w:t> for the fiscal quarter ended March 31, 2026, filed with the Commission on May 6, 2026;</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(3)</w:t>
            </w:r>
          </w:p>
        </w:tc>
        <w:tc>
          <w:tcPr>
            <w:tcW w:w="9750" w:type="dxa"/>
            <w:tcBorders/>
            <w:tcMar>
              <w:top w:w="0" w:type="dxa"/>
              <w:left w:w="0" w:type="dxa"/>
              <w:bottom w:w="0" w:type="dxa"/>
              <w:right w:w="0" w:type="dxa"/>
            </w:tcMar>
            <w:vAlign w:val="center"/>
          </w:tcPr>
          <w:p>
            <w:pPr>
              <w:pStyle w:val="TableContents"/>
              <w:bidi w:val="0"/>
              <w:spacing w:before="0" w:after="240"/>
              <w:jc w:val="left"/>
              <w:rPr/>
            </w:pPr>
            <w:r>
              <w:rPr>
                <w:rFonts w:ascii="Times New Roman" w:hAnsi="Times New Roman"/>
                <w:color w:val="000000"/>
                <w:sz w:val="20"/>
              </w:rPr>
              <w:t xml:space="preserve">The Registrant’s Current Reports on Form 8-K filed with the Commission on </w:t>
            </w:r>
            <w:hyperlink r:id="rId4">
              <w:r>
                <w:rPr>
                  <w:rStyle w:val="InternetLink"/>
                  <w:rFonts w:ascii="Times New Roman" w:hAnsi="Times New Roman"/>
                  <w:color w:val="0000FF"/>
                  <w:sz w:val="20"/>
                  <w:u w:val="single"/>
                </w:rPr>
                <w:t>January 26, 2026</w:t>
              </w:r>
            </w:hyperlink>
            <w:r>
              <w:rPr>
                <w:rFonts w:ascii="Times New Roman" w:hAnsi="Times New Roman"/>
                <w:color w:val="000000"/>
                <w:sz w:val="20"/>
              </w:rPr>
              <w:t xml:space="preserve"> and </w:t>
            </w:r>
            <w:hyperlink r:id="rId5">
              <w:r>
                <w:rPr>
                  <w:rStyle w:val="InternetLink"/>
                  <w:rFonts w:ascii="Times New Roman" w:hAnsi="Times New Roman"/>
                  <w:color w:val="0000FF"/>
                  <w:sz w:val="20"/>
                  <w:u w:val="single"/>
                </w:rPr>
                <w:t>May 4, 2026</w:t>
              </w:r>
            </w:hyperlink>
            <w:r>
              <w:rPr>
                <w:rFonts w:ascii="Times New Roman" w:hAnsi="Times New Roman"/>
                <w:color w:val="000000"/>
                <w:sz w:val="20"/>
              </w:rPr>
              <w:t> (other than information “furnished” and not deemed to be “filed” in such Current Reports);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(4)</w:t>
            </w:r>
          </w:p>
        </w:tc>
        <w:tc>
          <w:tcPr>
            <w:tcW w:w="975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information specifically incorporated by reference into the 2025 10-K from the Registrant’s Definitive Proxy Statement on Schedule 14A, filed with the Commission on March 25, 2026; and</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294"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(5)</w:t>
            </w:r>
          </w:p>
        </w:tc>
        <w:tc>
          <w:tcPr>
            <w:tcW w:w="9750" w:type="dxa"/>
            <w:tcBorders/>
            <w:tcMar>
              <w:top w:w="0" w:type="dxa"/>
              <w:left w:w="0" w:type="dxa"/>
              <w:bottom w:w="0" w:type="dxa"/>
              <w:right w:w="0" w:type="dxa"/>
            </w:tcMar>
            <w:vAlign w:val="center"/>
          </w:tcPr>
          <w:p>
            <w:pPr>
              <w:pStyle w:val="TableContents"/>
              <w:bidi w:val="0"/>
              <w:spacing w:before="0" w:after="240"/>
              <w:jc w:val="left"/>
              <w:rPr/>
            </w:pPr>
            <w:r>
              <w:rPr>
                <w:rFonts w:ascii="Times New Roman" w:hAnsi="Times New Roman"/>
                <w:color w:val="000000"/>
                <w:sz w:val="20"/>
              </w:rPr>
              <w:t xml:space="preserve">The description of the Registrant’s Common Stock contained in </w:t>
            </w:r>
            <w:hyperlink r:id="rId6">
              <w:r>
                <w:rPr>
                  <w:rStyle w:val="InternetLink"/>
                  <w:rFonts w:ascii="Times New Roman" w:hAnsi="Times New Roman"/>
                  <w:color w:val="000000"/>
                  <w:sz w:val="20"/>
                  <w:u w:val="single"/>
                </w:rPr>
                <w:t>Exhibit 4.1</w:t>
              </w:r>
            </w:hyperlink>
            <w:r>
              <w:rPr>
                <w:rFonts w:ascii="Times New Roman" w:hAnsi="Times New Roman"/>
                <w:color w:val="000000"/>
                <w:sz w:val="20"/>
              </w:rPr>
              <w:t> to the 2025 10-K, including any amendments or reports filed for the purpose of updating such description, in which there is described the terms, rights and provisions applicable to the Registrant’s Common Stock.</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reports and other documents subsequently filed by the Registrant pursuant to Sections 13(a), 13(c), 14 and 15(d) of the Securities Exchange Act of 1934, as amended (the “Exchange Act”) prior to the filing of a post-effective amendment to this Registration Statement that indicates that all of the shares of Common Stock offered have been sold or that deregisters all of such shares then remaining unsold, shall be deemed to be incorporated by reference into this Registration Statement and to be a part hereof from the date of the filing of such reports and documents. Unless expressly incorporated into this Registration Statement, a report furnished but not filed on Form 8-K shall not be incorporated by reference into this Registration Statement to the extent furnished but not filed.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list of exhibits filed herewith or incorporated by reference is contained in the Exhibit Index immediately following the signature pages and is incorporated herein by reference.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May 8, 2026.</w:t>
      </w:r>
    </w:p>
    <w:p>
      <w:pPr>
        <w:pStyle w:val="TextBody"/>
        <w:bidi w:val="0"/>
        <w:jc w:val="left"/>
        <w:rPr/>
      </w:pPr>
      <w:r>
        <w:rPr/>
        <w:t> </w:t>
      </w:r>
    </w:p>
    <w:tbl>
      <w:tblPr>
        <w:tblW w:w="4273" w:type="dxa"/>
        <w:jc w:val="left"/>
        <w:tblInd w:w="0" w:type="dxa"/>
        <w:tblLayout w:type="fixed"/>
        <w:tblCellMar>
          <w:top w:w="28" w:type="dxa"/>
          <w:left w:w="28" w:type="dxa"/>
          <w:bottom w:w="28" w:type="dxa"/>
          <w:right w:w="28" w:type="dxa"/>
        </w:tblCellMar>
      </w:tblPr>
      <w:tblGrid>
        <w:gridCol w:w="421"/>
        <w:gridCol w:w="3661"/>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Tanji</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Tanji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Corporate Secretary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color w:val="000000"/>
          <w:sz w:val="20"/>
        </w:rPr>
      </w:pPr>
      <w:bookmarkStart w:id="2" w:name="power_attorney"/>
      <w:bookmarkEnd w:id="2"/>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IT KNOWN BY THESE PRESENTS: That each person whose name is signed hereto has made, constituted and appointed, and does hereby make, constitute and appoint Keith A. Jones and Kevin Tanji his or her true and lawful attorney-in-fact and agent, each acting alone, with full power of substitution and resubstitution for him or her and his or her name, place and stead, in any and all capacities to sign the Registration Statement on Form S-8 and any and all amendments (including post-effective amendments) to this Registration Statement, and to file the same, with all exhibits thereto, and the other documents in connection therewith, with the Securities and Exchange Commission, granting unto said attorney-in-fact and agent, each acting alone, full power and authority to do and perform each and every act and thing requisite and necessary to be done in connection therewith, as fully to all intents and purposes as they might or could do in person, hereby ratifying and confirming all that said attorney-in-fact or his substitutes, each acting alone, may lawfully do or cause to be done by virtue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and on the dates indicated.</w:t>
      </w:r>
    </w:p>
    <w:p>
      <w:pPr>
        <w:pStyle w:val="HorizontalLine"/>
        <w:pBdr>
          <w:bottom w:val="double" w:sz="2" w:space="0" w:color="808080"/>
        </w:pBdr>
        <w:bidi w:val="0"/>
        <w:spacing w:before="0" w:after="283"/>
        <w:jc w:val="left"/>
        <w:rPr/>
      </w:pPr>
      <w:r>
        <w:rPr/>
      </w:r>
    </w:p>
    <w:tbl>
      <w:tblPr>
        <w:tblW w:w="7301" w:type="dxa"/>
        <w:jc w:val="left"/>
        <w:tblInd w:w="0" w:type="dxa"/>
        <w:tblLayout w:type="fixed"/>
        <w:tblCellMar>
          <w:top w:w="28" w:type="dxa"/>
          <w:left w:w="28" w:type="dxa"/>
          <w:bottom w:w="28" w:type="dxa"/>
          <w:right w:w="28" w:type="dxa"/>
        </w:tblCellMar>
      </w:tblPr>
      <w:tblGrid>
        <w:gridCol w:w="1981"/>
        <w:gridCol w:w="109"/>
        <w:gridCol w:w="3916"/>
        <w:gridCol w:w="109"/>
        <w:gridCol w:w="1186"/>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bottom w:val="single" w:sz="6"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/s/ Paul E. Davis</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President and Director</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E. Davis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bottom w:val="single" w:sz="6"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/s/ Keith A. Jones</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Keith A. Jones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Daniel Moloney </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Moloney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V. Sue Molina </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 Sue Molina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Tonia O’Connor </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Tonia O’Connor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Adam Rymer</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Adam Rymer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Phyllis Turner-Brim</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Phyllis Turner-Brim</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Sandeep Vij</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Sandeep Vij</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97"/>
        <w:gridCol w:w="9308"/>
      </w:tblGrid>
      <w:tr>
        <w:trPr/>
        <w:tc>
          <w:tcPr>
            <w:tcW w:w="897"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 No.</w:t>
            </w:r>
          </w:p>
        </w:tc>
        <w:tc>
          <w:tcPr>
            <w:tcW w:w="93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Composite Amended and Restated Certificate of Incorporation of the Registrant (filed as Exhibit 3.2 to the Company’s Annual Report on Form 10-K filed with the SEC on March 1, 2023, and incorporated herein by reference)</w:t>
              </w:r>
            </w:hyperlink>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9308" w:type="dxa"/>
            <w:tcBorders/>
            <w:tcMar>
              <w:top w:w="0" w:type="dxa"/>
              <w:left w:w="0" w:type="dxa"/>
              <w:bottom w:w="0" w:type="dxa"/>
              <w:right w:w="0" w:type="dxa"/>
            </w:tcMar>
            <w:vAlign w:val="center"/>
          </w:tcPr>
          <w:p>
            <w:pPr>
              <w:pStyle w:val="TableContents"/>
              <w:bidi w:val="0"/>
              <w:spacing w:before="40" w:after="40"/>
              <w:jc w:val="left"/>
              <w:rPr/>
            </w:pPr>
            <w:hyperlink r:id="rId8">
              <w:r>
                <w:rPr>
                  <w:rStyle w:val="InternetLink"/>
                  <w:rFonts w:ascii="Times New Roman" w:hAnsi="Times New Roman"/>
                  <w:color w:val="0000FF"/>
                  <w:sz w:val="20"/>
                  <w:u w:val="single"/>
                </w:rPr>
                <w:t>Amended and Restated Bylaws of the Registrant (filed as Exhibit 3.2 to the Registrant’s Quarterly on Form 10-Q filed with the SEC on November 9, 2022, and incorporated herein by reference)</w:t>
              </w:r>
            </w:hyperlink>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Description of Capital Stock registered under section 12 of the Securities Exchange Act of 1934 (Exhibit 4.1 to the Registrant’s Current Annual Report on Form 10-K filed with the SEC on February 26, 2026).</w:t>
              </w:r>
            </w:hyperlink>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The Registrant’s Amended and Restated 2020 Equity Incentive Plan (filed as Exhibit 4.4 to the Registrant’s Registration Statement on Form S-8 filed with the SEC on May 9, 2024)</w:t>
              </w:r>
            </w:hyperlink>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4.5</w:t>
            </w:r>
            <w:r>
              <w:rPr>
                <w:rFonts w:ascii="Times New Roman" w:hAnsi="Times New Roman"/>
                <w:color w:val="000000"/>
                <w:sz w:val="13"/>
              </w:rPr>
              <w:t>*</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adea-ex4_5.htm">
              <w:r>
                <w:rPr>
                  <w:rStyle w:val="InternetLink"/>
                  <w:rFonts w:ascii="Times New Roman" w:hAnsi="Times New Roman"/>
                  <w:color w:val="0000FF"/>
                  <w:sz w:val="20"/>
                  <w:u w:val="single"/>
                </w:rPr>
                <w:t>Form of Amendment to the Registrant’s Amended and Restated 2020 Equity Incentive Plan (Appendix A to the Registrant’s Proxy Statement for the 2026 Annual Meeting of Stockholders, filed on March 25, 2026)</w:t>
              </w:r>
            </w:hyperlink>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5.1</w:t>
            </w:r>
            <w:r>
              <w:rPr>
                <w:rFonts w:ascii="Times New Roman" w:hAnsi="Times New Roman"/>
                <w:color w:val="000000"/>
                <w:sz w:val="13"/>
              </w:rPr>
              <w:t>*</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adea-ex5_1.htm">
              <w:r>
                <w:rPr>
                  <w:rStyle w:val="InternetLink"/>
                  <w:rFonts w:ascii="Times New Roman" w:hAnsi="Times New Roman"/>
                  <w:color w:val="0000FF"/>
                  <w:sz w:val="20"/>
                  <w:u w:val="single"/>
                </w:rPr>
                <w:t>Opinion of Freshfields US LLP</w:t>
              </w:r>
            </w:hyperlink>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23.1</w:t>
            </w:r>
            <w:r>
              <w:rPr>
                <w:rFonts w:ascii="Times New Roman" w:hAnsi="Times New Roman"/>
                <w:color w:val="000000"/>
                <w:sz w:val="13"/>
              </w:rPr>
              <w:t>*</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adea-ex23_1.htm">
              <w:r>
                <w:rPr>
                  <w:rStyle w:val="InternetLink"/>
                  <w:rFonts w:ascii="Times New Roman" w:hAnsi="Times New Roman"/>
                  <w:color w:val="0000FF"/>
                  <w:sz w:val="20"/>
                  <w:u w:val="single"/>
                </w:rPr>
                <w:t>Consent of PricewaterhouseCoopers LLP, Independent Registered Public Accounting Firm</w:t>
              </w:r>
            </w:hyperlink>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23.2</w:t>
            </w:r>
            <w:r>
              <w:rPr>
                <w:rFonts w:ascii="Times New Roman" w:hAnsi="Times New Roman"/>
                <w:color w:val="000000"/>
                <w:sz w:val="13"/>
              </w:rPr>
              <w:t>*</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adea-ex5_1.htm">
              <w:r>
                <w:rPr>
                  <w:rStyle w:val="InternetLink"/>
                  <w:rFonts w:ascii="Times New Roman" w:hAnsi="Times New Roman"/>
                  <w:color w:val="0000FF"/>
                  <w:sz w:val="20"/>
                  <w:u w:val="single"/>
                </w:rPr>
                <w:t>Consent of Freshfields US LLP (included in Exhibit 5.1)</w:t>
              </w:r>
            </w:hyperlink>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24.1</w:t>
            </w:r>
            <w:r>
              <w:rPr>
                <w:rFonts w:ascii="Times New Roman" w:hAnsi="Times New Roman"/>
                <w:color w:val="000000"/>
                <w:sz w:val="13"/>
              </w:rPr>
              <w:t>*</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(included on signature pages hereto)</w:t>
              </w:r>
            </w:hyperlink>
          </w:p>
        </w:tc>
      </w:tr>
      <w:tr>
        <w:trPr/>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107</w:t>
            </w:r>
            <w:r>
              <w:rPr>
                <w:rFonts w:ascii="Times New Roman" w:hAnsi="Times New Roman"/>
                <w:color w:val="000000"/>
                <w:sz w:val="13"/>
              </w:rPr>
              <w:t>*</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adea-exfiling_fees.htm">
              <w:r>
                <w:rPr>
                  <w:rStyle w:val="InternetLink"/>
                  <w:rFonts w:ascii="Times New Roman" w:hAnsi="Times New Roman"/>
                  <w:color w:val="0000FF"/>
                  <w:sz w:val="20"/>
                  <w:u w:val="single"/>
                </w:rPr>
                <w:t>Filing Fee Table</w:t>
              </w:r>
            </w:hyperlink>
          </w:p>
        </w:tc>
      </w:tr>
    </w:tbl>
    <w:p>
      <w:pPr>
        <w:pStyle w:val="TextBody"/>
        <w:bidi w:val="0"/>
        <w:jc w:val="left"/>
        <w:rPr/>
      </w:pPr>
      <w:r>
        <w:rPr/>
        <w:t> </w:t>
      </w:r>
    </w:p>
    <w:p>
      <w:pPr>
        <w:pStyle w:val="TextBody"/>
        <w:bidi w:val="0"/>
        <w:jc w:val="left"/>
        <w:rPr>
          <w:rFonts w:ascii="Times New Roman" w:hAnsi="Times New Roman"/>
          <w:color w:val="000000"/>
          <w:sz w:val="13"/>
        </w:rPr>
      </w:pPr>
      <w:r>
        <w:rPr>
          <w:rFonts w:ascii="Times New Roman" w:hAnsi="Times New Roman"/>
          <w:color w:val="000000"/>
          <w:sz w:val="13"/>
        </w:rPr>
        <w:t>__________________________________________</w:t>
      </w:r>
    </w:p>
    <w:p>
      <w:pPr>
        <w:pStyle w:val="TextBody"/>
        <w:bidi w:val="0"/>
        <w:jc w:val="left"/>
        <w:rPr>
          <w:rFonts w:ascii="Times New Roman" w:hAnsi="Times New Roman"/>
          <w:sz w:val="20"/>
        </w:rPr>
      </w:pPr>
      <w:r>
        <w:rPr>
          <w:rFonts w:ascii="Times New Roman" w:hAnsi="Times New Roman"/>
          <w:color w:val="000000"/>
          <w:sz w:val="13"/>
        </w:rPr>
        <w:t>*</w:t>
      </w:r>
      <w:r>
        <w:rPr>
          <w:rFonts w:ascii="Times New Roman" w:hAnsi="Times New Roman"/>
          <w:color w:val="000000"/>
          <w:sz w:val="20"/>
        </w:rPr>
        <w:t xml:space="preserve"> Filed herewith.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u w:val="single"/>
        </w:rPr>
      </w:pPr>
      <w:bookmarkStart w:id="3" w:name="adea-ex4_5.htm"/>
      <w:bookmarkStart w:id="4" w:name="ksadeaex4_5"/>
      <w:bookmarkEnd w:id="3"/>
      <w:bookmarkEnd w:id="4"/>
      <w:r>
        <w:rPr>
          <w:rFonts w:ascii="Times New Roman" w:hAnsi="Times New Roman"/>
          <w:b/>
          <w:color w:val="000000"/>
          <w:sz w:val="22"/>
          <w:u w:val="single"/>
        </w:rPr>
        <w:t>Exhibit 4.5</w:t>
      </w:r>
      <w:r>
        <w:br w:type="page"/>
      </w:r>
    </w:p>
    <w:p>
      <w:pPr>
        <w:pStyle w:val="TextBody"/>
        <w:bidi w:val="0"/>
        <w:jc w:val="center"/>
        <w:rPr>
          <w:rFonts w:cs="Tahoma;sans-serif"/>
          <w:bCs/>
          <w:color w:val="000000"/>
          <w:szCs w:val="24"/>
          <w:u w:val="single"/>
        </w:rPr>
      </w:pPr>
      <w:r>
        <w:rPr>
          <w:rFonts w:cs="Tahoma;sans-serif"/>
          <w:bCs/>
          <w:color w:val="000000"/>
          <w:szCs w:val="24"/>
          <w:u w:val="single"/>
        </w:rPr>
        <w:t>﻿</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APPENDIX A</w:t>
      </w:r>
    </w:p>
    <w:p>
      <w:pPr>
        <w:pStyle w:val="TextBody"/>
        <w:bidi w:val="0"/>
        <w:jc w:val="center"/>
        <w:rPr>
          <w:rFonts w:ascii="Times New Roman" w:hAnsi="Times New Roman"/>
          <w:sz w:val="20"/>
        </w:rPr>
      </w:pPr>
      <w:r>
        <w:rPr>
          <w:rFonts w:ascii="Times New Roman" w:hAnsi="Times New Roman"/>
          <w:b/>
          <w:caps/>
          <w:color w:val="000000"/>
          <w:sz w:val="22"/>
        </w:rPr>
        <w:t>FORM OF PLAN AMENDMENT TO ADEIA INC. AMENDED AND</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2"/>
        </w:rPr>
      </w:pPr>
      <w:r>
        <w:rPr>
          <w:rFonts w:ascii="Times New Roman" w:hAnsi="Times New Roman"/>
          <w:b/>
          <w:caps/>
          <w:color w:val="000000"/>
          <w:sz w:val="22"/>
        </w:rPr>
        <w:t>RESTATED 2020 EQUITY INCENTIVE PLAN</w:t>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Adeia Inc. Amended and Restated 2020 Equity Incentive Plan (the “Plan”) is hereby amended (this “Amendment”), effective as of ____________, 2026.</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3(a) of the Plan is hereby amended in its entirety to read as follows:</w:t>
      </w:r>
    </w:p>
    <w:p>
      <w:pPr>
        <w:pStyle w:val="TextBody"/>
        <w:bidi w:val="0"/>
        <w:spacing w:before="240" w:after="283"/>
        <w:jc w:val="left"/>
        <w:rPr>
          <w:color w:val="000000"/>
        </w:rPr>
      </w:pPr>
      <w:r>
        <w:rPr>
          <w:color w:val="000000"/>
        </w:rPr>
        <w:t>“</w:t>
      </w:r>
      <w:r>
        <w:rPr>
          <w:rFonts w:ascii="Times New Roman" w:hAnsi="Times New Roman"/>
          <w:color w:val="000000"/>
          <w:sz w:val="22"/>
        </w:rPr>
        <w:t>Subject to the provisions of Section 13 of the Plan, the maximum aggregate number of Shares which may be subject to Awards under the Plan is 36,400,000 shares; provided, however, that each Share issued under the Plan pursuant to a Previously-Issued Full-Value Award shall reduce the number of available Shares by one and one-half (1.5) shares. Shares issued upon exercise of Awards may be authorized but unissued, or reacquired Common Stock. Subject to the provisions of Section 13 of the Plan, the maximum aggregate number of Shares which may be issued pursuant to the exercise of Incentive Stock Options is 36,400,000.”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modified by this Amendment, all the terms and provisions of the Plan as in effect immediately prior to this Amendment shall continue in full force and effect.</w:t>
      </w:r>
    </w:p>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Adeia Inc. has caused this Amendment to be executed on its behalf by its duly-authorized officer as of the date set forth below.</w:t>
      </w:r>
      <w:r>
        <w:rPr>
          <w:rFonts w:ascii="Times New Roman" w:hAnsi="Times New Roman"/>
          <w:color w:val="000000"/>
          <w:sz w:val="20"/>
        </w:rPr>
        <w:t xml:space="preserve"> </w:t>
      </w:r>
    </w:p>
    <w:p>
      <w:pPr>
        <w:pStyle w:val="TextBody"/>
        <w:bidi w:val="0"/>
        <w:spacing w:before="49" w:after="120"/>
        <w:jc w:val="left"/>
        <w:rPr/>
      </w:pPr>
      <w:r>
        <w:rPr/>
        <w:t> </w:t>
      </w:r>
    </w:p>
    <w:p>
      <w:pPr>
        <w:pStyle w:val="TextBody"/>
        <w:bidi w:val="0"/>
        <w:spacing w:before="89" w:after="120"/>
        <w:jc w:val="left"/>
        <w:rPr>
          <w:rFonts w:ascii="Times New Roman" w:hAnsi="Times New Roman"/>
          <w:color w:val="000000"/>
          <w:sz w:val="22"/>
        </w:rPr>
      </w:pPr>
      <w:r>
        <w:rPr>
          <w:rFonts w:ascii="Times New Roman" w:hAnsi="Times New Roman"/>
          <w:color w:val="000000"/>
          <w:sz w:val="22"/>
        </w:rPr>
        <w:t>ADEIA INC.</w:t>
      </w:r>
    </w:p>
    <w:p>
      <w:pPr>
        <w:pStyle w:val="TextBody"/>
        <w:bidi w:val="0"/>
        <w:spacing w:before="89" w:after="120"/>
        <w:jc w:val="left"/>
        <w:rPr>
          <w:rFonts w:ascii="Times New Roman" w:hAnsi="Times New Roman"/>
          <w:color w:val="000000"/>
          <w:sz w:val="22"/>
        </w:rPr>
      </w:pPr>
      <w:r>
        <w:rPr>
          <w:rFonts w:ascii="Times New Roman" w:hAnsi="Times New Roman"/>
          <w:color w:val="000000"/>
          <w:sz w:val="22"/>
        </w:rPr>
        <w:t>___________________________________</w:t>
      </w:r>
    </w:p>
    <w:p>
      <w:pPr>
        <w:pStyle w:val="TextBody"/>
        <w:bidi w:val="0"/>
        <w:spacing w:before="89" w:after="12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rPr>
        <w:t xml:space="preserve"> </w:t>
      </w:r>
    </w:p>
    <w:p>
      <w:pPr>
        <w:pStyle w:val="TextBody"/>
        <w:bidi w:val="0"/>
        <w:spacing w:before="89" w:after="12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spacing w:before="89" w:after="120"/>
        <w:jc w:val="left"/>
        <w:rPr>
          <w:rFonts w:ascii="Times New Roman" w:hAnsi="Times New Roman"/>
          <w:color w:val="000000"/>
          <w:sz w:val="20"/>
        </w:rPr>
      </w:pPr>
      <w:r>
        <w:rPr>
          <w:rFonts w:ascii="Times New Roman" w:hAnsi="Times New Roman"/>
          <w:color w:val="000000"/>
          <w:sz w:val="20"/>
        </w:rPr>
        <w:t>Title:</w:t>
      </w:r>
    </w:p>
    <w:p>
      <w:pPr>
        <w:pStyle w:val="TextBody"/>
        <w:bidi w:val="0"/>
        <w:spacing w:before="89" w:after="12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 w:name="adea-ex5_1.htm"/>
      <w:bookmarkStart w:id="6" w:name="ksadeaex5_1"/>
      <w:bookmarkEnd w:id="5"/>
      <w:bookmarkEnd w:id="6"/>
      <w:r>
        <w:rPr/>
        <w:drawing>
          <wp:inline distT="0" distB="0" distL="0" distR="0">
            <wp:extent cx="2085975" cy="171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2085975" cy="171450"/>
                    </a:xfrm>
                    <a:prstGeom prst="rect">
                      <a:avLst/>
                    </a:prstGeom>
                  </pic:spPr>
                </pic:pic>
              </a:graphicData>
            </a:graphic>
          </wp:inline>
        </w:drawing>
      </w:r>
      <w:r>
        <w:br w:type="page"/>
      </w:r>
    </w:p>
    <w:p>
      <w:pPr>
        <w:pStyle w:val="TextBody"/>
        <w:bidi w:val="0"/>
        <w:jc w:val="both"/>
        <w:rPr/>
      </w:pPr>
      <w:r>
        <w:rPr/>
        <w:t> </w:t>
      </w:r>
    </w:p>
    <w:p>
      <w:pPr>
        <w:pStyle w:val="TextBody"/>
        <w:bidi w:val="0"/>
        <w:jc w:val="right"/>
        <w:rPr>
          <w:rFonts w:ascii="Times New Roman" w:hAnsi="Times New Roman"/>
          <w:b/>
          <w:color w:val="000000"/>
          <w:sz w:val="22"/>
          <w:u w:val="single"/>
        </w:rPr>
      </w:pPr>
      <w:r>
        <w:rPr>
          <w:rFonts w:ascii="Times New Roman" w:hAnsi="Times New Roman"/>
          <w:b/>
          <w:color w:val="000000"/>
          <w:sz w:val="22"/>
          <w:u w:val="single"/>
        </w:rPr>
        <w:t>Exhibit 5.1</w:t>
      </w:r>
    </w:p>
    <w:p>
      <w:pPr>
        <w:pStyle w:val="TextBody"/>
        <w:bidi w:val="0"/>
        <w:spacing w:before="0" w:after="90"/>
        <w:jc w:val="left"/>
        <w:rPr/>
      </w:pPr>
      <w:r>
        <w:rPr/>
        <w:t> </w:t>
      </w:r>
    </w:p>
    <w:p>
      <w:pPr>
        <w:pStyle w:val="TextBody"/>
        <w:bidi w:val="0"/>
        <w:spacing w:before="0" w:after="90"/>
        <w:jc w:val="left"/>
        <w:rPr/>
      </w:pPr>
      <w:r>
        <w:rPr/>
        <w:t> </w:t>
      </w:r>
    </w:p>
    <w:p>
      <w:pPr>
        <w:pStyle w:val="TextBody"/>
        <w:bidi w:val="0"/>
        <w:spacing w:before="0" w:after="90"/>
        <w:jc w:val="left"/>
        <w:rPr>
          <w:rFonts w:ascii="Times New Roman" w:hAnsi="Times New Roman"/>
          <w:b/>
          <w:color w:val="000000"/>
          <w:sz w:val="16"/>
        </w:rPr>
      </w:pPr>
      <w:r>
        <w:rPr>
          <w:rFonts w:ascii="Times New Roman" w:hAnsi="Times New Roman"/>
          <w:b/>
          <w:color w:val="000000"/>
          <w:sz w:val="16"/>
        </w:rPr>
        <w:t>Silicon Valley</w:t>
      </w:r>
    </w:p>
    <w:p>
      <w:pPr>
        <w:pStyle w:val="TextBody"/>
        <w:bidi w:val="0"/>
        <w:jc w:val="left"/>
        <w:rPr>
          <w:rFonts w:ascii="Times New Roman" w:hAnsi="Times New Roman"/>
          <w:sz w:val="20"/>
        </w:rPr>
      </w:pPr>
      <w:r>
        <w:rPr>
          <w:rFonts w:ascii="Times New Roman" w:hAnsi="Times New Roman"/>
          <w:color w:val="000000"/>
          <w:sz w:val="16"/>
        </w:rPr>
        <w:t>855 Main Street</w:t>
        <w:br/>
        <w:t>Redwood City, CA 94063</w:t>
        <w:br/>
      </w:r>
      <w:r>
        <w:rPr>
          <w:rFonts w:ascii="Times New Roman" w:hAnsi="Times New Roman"/>
          <w:b/>
          <w:color w:val="000000"/>
          <w:sz w:val="16"/>
        </w:rPr>
        <w:t>T</w:t>
      </w:r>
      <w:r>
        <w:rPr>
          <w:rFonts w:ascii="Times New Roman" w:hAnsi="Times New Roman"/>
          <w:color w:val="000000"/>
          <w:sz w:val="20"/>
        </w:rPr>
        <w:t xml:space="preserve"> </w:t>
      </w:r>
      <w:r>
        <w:rPr>
          <w:rFonts w:ascii="Times New Roman" w:hAnsi="Times New Roman"/>
          <w:color w:val="000000"/>
          <w:sz w:val="16"/>
        </w:rPr>
        <w:t>+1 (650) 618-9250</w:t>
      </w:r>
    </w:p>
    <w:p>
      <w:pPr>
        <w:pStyle w:val="TextBody"/>
        <w:bidi w:val="0"/>
        <w:spacing w:before="90" w:after="240"/>
        <w:jc w:val="left"/>
        <w:rPr>
          <w:rFonts w:ascii="Times New Roman" w:hAnsi="Times New Roman"/>
          <w:b/>
          <w:color w:val="000000"/>
          <w:sz w:val="16"/>
        </w:rPr>
      </w:pPr>
      <w:r>
        <w:rPr>
          <w:rFonts w:ascii="Times New Roman" w:hAnsi="Times New Roman"/>
          <w:b/>
          <w:color w:val="000000"/>
          <w:sz w:val="16"/>
        </w:rPr>
        <w:t>freshfields.us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8, 2026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Adeia Inc.</w:t>
        <w:br/>
        <w:t>3025 Orchard Parkway</w:t>
        <w:br/>
        <w:t>San Jose, CA 95134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40" w:after="240"/>
        <w:jc w:val="both"/>
        <w:rPr>
          <w:rFonts w:ascii="Times New Roman" w:hAnsi="Times New Roman"/>
          <w:sz w:val="20"/>
        </w:rPr>
      </w:pPr>
      <w:r>
        <w:rPr>
          <w:rFonts w:ascii="Times New Roman" w:hAnsi="Times New Roman"/>
          <w:color w:val="000000"/>
          <w:sz w:val="24"/>
        </w:rPr>
        <w:t>Adeia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filed with the Securities and Exchange Commission a Registration Statement on Form S</w:t>
        <w:noBreakHyphen/>
        <w:t>8 (the “</w:t>
      </w:r>
      <w:r>
        <w:rPr>
          <w:rFonts w:ascii="Times New Roman" w:hAnsi="Times New Roman"/>
          <w:b/>
          <w:i/>
          <w:color w:val="000000"/>
          <w:sz w:val="24"/>
        </w:rPr>
        <w:t>Registration Statement</w:t>
      </w:r>
      <w:r>
        <w:rPr>
          <w:rFonts w:ascii="Times New Roman" w:hAnsi="Times New Roman"/>
          <w:color w:val="000000"/>
          <w:sz w:val="20"/>
        </w:rPr>
        <w:t>”</w:t>
      </w:r>
      <w:r>
        <w:rPr>
          <w:rFonts w:ascii="Times New Roman" w:hAnsi="Times New Roman"/>
          <w:color w:val="000000"/>
          <w:sz w:val="24"/>
        </w:rPr>
        <w:t>) for the purpose of registering under the Securities Act of 1933, as amended (the “</w:t>
      </w:r>
      <w:r>
        <w:rPr>
          <w:rFonts w:ascii="Times New Roman" w:hAnsi="Times New Roman"/>
          <w:b/>
          <w:i/>
          <w:color w:val="000000"/>
          <w:sz w:val="24"/>
        </w:rPr>
        <w:t>Securities Act</w:t>
      </w:r>
      <w:r>
        <w:rPr>
          <w:rFonts w:ascii="Times New Roman" w:hAnsi="Times New Roman"/>
          <w:color w:val="000000"/>
          <w:sz w:val="20"/>
        </w:rPr>
        <w:t>”</w:t>
      </w:r>
      <w:r>
        <w:rPr>
          <w:rFonts w:ascii="Times New Roman" w:hAnsi="Times New Roman"/>
          <w:color w:val="000000"/>
          <w:sz w:val="24"/>
        </w:rPr>
        <w:t>), an additional 10,700,000 shares of common stock, par value $0.001 per share (the “</w:t>
      </w:r>
      <w:r>
        <w:rPr>
          <w:rFonts w:ascii="Times New Roman" w:hAnsi="Times New Roman"/>
          <w:b/>
          <w:i/>
          <w:color w:val="000000"/>
          <w:sz w:val="24"/>
        </w:rPr>
        <w:t>Securities</w:t>
      </w:r>
      <w:r>
        <w:rPr>
          <w:rFonts w:ascii="Times New Roman" w:hAnsi="Times New Roman"/>
          <w:color w:val="000000"/>
          <w:sz w:val="20"/>
        </w:rPr>
        <w:t>”</w:t>
      </w:r>
      <w:r>
        <w:rPr>
          <w:rFonts w:ascii="Times New Roman" w:hAnsi="Times New Roman"/>
          <w:color w:val="000000"/>
          <w:sz w:val="24"/>
        </w:rPr>
        <w:t>), that may be issued under the Adeia Inc. Amended and Restated 2020 Equity Incentive Award Plan, as amended and restated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Based upon the foregoing, and subject to the additional assumptions and qualifications set forth below, we advise you that, in our opinion, as of the date hereof, the Securities have been duly authorized and, when and to the extent issued, delivered and paid for in accordance with the Plan, will be validly issued, fully paid and non-assessable.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are members of the Bars of the States of New York and California and the foregoing opinion is limited to the General Corporation Law of the State of Delaware.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085975"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085975" cy="171450"/>
                    </a:xfrm>
                    <a:prstGeom prst="rect">
                      <a:avLst/>
                    </a:prstGeom>
                  </pic:spPr>
                </pic:pic>
              </a:graphicData>
            </a:graphic>
          </wp:inline>
        </w:drawing>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hereby consent to the filing of this opinion as an exhibit to the Registration Statement. In giving this consent, we do not admit that we are in the category of persons whose consent is required under Section 7 of the Securities Act.</w:t>
      </w:r>
    </w:p>
    <w:p>
      <w:pPr>
        <w:pStyle w:val="TextBody"/>
        <w:bidi w:val="0"/>
        <w:spacing w:before="0" w:after="240"/>
        <w:jc w:val="both"/>
        <w:rPr/>
      </w:pPr>
      <w:r>
        <w:rPr/>
        <w:t> </w:t>
      </w:r>
    </w:p>
    <w:tbl>
      <w:tblPr>
        <w:tblW w:w="1932" w:type="dxa"/>
        <w:jc w:val="left"/>
        <w:tblInd w:w="0" w:type="dxa"/>
        <w:tblLayout w:type="fixed"/>
        <w:tblCellMar>
          <w:top w:w="28" w:type="dxa"/>
          <w:left w:w="28" w:type="dxa"/>
          <w:bottom w:w="28" w:type="dxa"/>
          <w:right w:w="28" w:type="dxa"/>
        </w:tblCellMar>
      </w:tblPr>
      <w:tblGrid>
        <w:gridCol w:w="1741"/>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480"/>
              <w:jc w:val="both"/>
              <w:rPr>
                <w:rFonts w:ascii="Times New Roman" w:hAnsi="Times New Roman"/>
                <w:color w:val="000000"/>
                <w:sz w:val="24"/>
              </w:rPr>
            </w:pPr>
            <w:r>
              <w:rPr>
                <w:rFonts w:ascii="Times New Roman" w:hAnsi="Times New Roman"/>
                <w:color w:val="000000"/>
                <w:sz w:val="24"/>
              </w:rPr>
              <w:t>Very truly yours,</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80" w:after="283"/>
        <w:jc w:val="right"/>
        <w:rPr>
          <w:rFonts w:ascii="Times New Roman" w:hAnsi="Times New Roman"/>
          <w:b/>
          <w:color w:val="000000"/>
          <w:sz w:val="24"/>
        </w:rPr>
      </w:pPr>
      <w:bookmarkStart w:id="7" w:name="adea-ex23_1.htm"/>
      <w:bookmarkStart w:id="8" w:name="ksadeaex23_1"/>
      <w:bookmarkEnd w:id="7"/>
      <w:bookmarkEnd w:id="8"/>
      <w:r>
        <w:rPr>
          <w:rFonts w:ascii="Times New Roman" w:hAnsi="Times New Roman"/>
          <w:b/>
          <w:color w:val="000000"/>
          <w:sz w:val="24"/>
        </w:rPr>
        <w:t>Exhibit 23.1</w:t>
      </w:r>
      <w:r>
        <w:br w:type="page"/>
      </w:r>
    </w:p>
    <w:p>
      <w:pPr>
        <w:pStyle w:val="TextBody"/>
        <w:bidi w:val="0"/>
        <w:spacing w:before="480" w:after="480"/>
        <w:jc w:val="center"/>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 on Form S-8 of Adeia Inc. of our report dated February 26, 2026 relating to the financial statements, financial statement schedule and the effectiveness of internal control over financial reporting, which appears in Adeia Inc.’s Annual Report on Form 10-K for the year ended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br/>
        <w:t>San Jose, California</w:t>
        <w:br/>
        <w:t>May 8,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9" w:name="adea-exfiling_fees.htm"/>
      <w:bookmarkStart w:id="10" w:name="ksadeaexfiling_fees"/>
      <w:bookmarkStart w:id="11" w:name="adea-exfiling_fees.htm"/>
      <w:bookmarkStart w:id="12" w:name="ksadeaexfiling_fees"/>
      <w:bookmarkEnd w:id="11"/>
      <w:bookmarkEnd w:id="12"/>
      <w:r>
        <w:br w:type="page"/>
      </w:r>
    </w:p>
    <w:tbl>
      <w:tblPr>
        <w:tblW w:w="3496" w:type="dxa"/>
        <w:jc w:val="left"/>
        <w:tblInd w:w="0" w:type="dxa"/>
        <w:tblLayout w:type="fixed"/>
        <w:tblCellMar>
          <w:top w:w="28" w:type="dxa"/>
          <w:left w:w="28" w:type="dxa"/>
          <w:bottom w:w="28" w:type="dxa"/>
          <w:right w:w="28" w:type="dxa"/>
        </w:tblCellMar>
      </w:tblPr>
      <w:tblGrid>
        <w:gridCol w:w="3342"/>
        <w:gridCol w:w="154"/>
      </w:tblGrid>
      <w:tr>
        <w:trPr/>
        <w:tc>
          <w:tcPr>
            <w:tcW w:w="349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4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42" w:type="dxa"/>
            <w:tcBorders/>
            <w:vAlign w:val="center"/>
          </w:tcPr>
          <w:p>
            <w:pPr>
              <w:pStyle w:val="TableContents"/>
              <w:bidi w:val="0"/>
              <w:spacing w:before="0" w:after="283"/>
              <w:jc w:val="left"/>
              <w:rPr>
                <w:b/>
              </w:rPr>
            </w:pPr>
            <w:r>
              <w:rPr>
                <w:b/>
              </w:rPr>
              <w:t xml:space="preserve">Adeia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6"/>
        <w:gridCol w:w="1283"/>
        <w:gridCol w:w="1193"/>
        <w:gridCol w:w="1182"/>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6" w:type="dxa"/>
            <w:tcBorders/>
            <w:shd w:fill="E7E7E2" w:val="clear"/>
            <w:vAlign w:val="center"/>
          </w:tcPr>
          <w:p>
            <w:pPr>
              <w:pStyle w:val="TableContents"/>
              <w:bidi w:val="0"/>
              <w:spacing w:before="0" w:after="283"/>
              <w:jc w:val="left"/>
              <w:rPr/>
            </w:pPr>
            <w:r>
              <w:rPr/>
              <w:t xml:space="preserve">Common Stock, par value $0.001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10,700,000 </w:t>
            </w:r>
          </w:p>
        </w:tc>
        <w:tc>
          <w:tcPr>
            <w:tcW w:w="1182" w:type="dxa"/>
            <w:tcBorders/>
            <w:shd w:fill="E7E7E2" w:val="clear"/>
            <w:vAlign w:val="center"/>
          </w:tcPr>
          <w:p>
            <w:pPr>
              <w:pStyle w:val="TableContents"/>
              <w:bidi w:val="0"/>
              <w:spacing w:before="0" w:after="283"/>
              <w:jc w:val="right"/>
              <w:rPr/>
            </w:pPr>
            <w:r>
              <w:rPr/>
              <w:t xml:space="preserve">$ 32.57 </w:t>
            </w:r>
          </w:p>
        </w:tc>
        <w:tc>
          <w:tcPr>
            <w:tcW w:w="1801" w:type="dxa"/>
            <w:tcBorders/>
            <w:shd w:fill="E7E7E2" w:val="clear"/>
            <w:vAlign w:val="center"/>
          </w:tcPr>
          <w:p>
            <w:pPr>
              <w:pStyle w:val="TableContents"/>
              <w:bidi w:val="0"/>
              <w:spacing w:before="0" w:after="283"/>
              <w:jc w:val="right"/>
              <w:rPr/>
            </w:pPr>
            <w:r>
              <w:rPr/>
              <w:t xml:space="preserve">$ 348,499,000.00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$ 48,127.71 </w:t>
            </w:r>
          </w:p>
        </w:tc>
      </w:tr>
      <w:tr>
        <w:trPr/>
        <w:tc>
          <w:tcPr>
            <w:tcW w:w="4683" w:type="dxa"/>
            <w:gridSpan w:val="5"/>
            <w:tcBorders/>
            <w:vAlign w:val="center"/>
          </w:tcPr>
          <w:p>
            <w:pPr>
              <w:pStyle w:val="TableContents"/>
              <w:bidi w:val="0"/>
              <w:spacing w:before="0" w:after="0"/>
              <w:ind w:left="0" w:right="0" w:hanging="0"/>
              <w:jc w:val="right"/>
              <w:rPr/>
            </w:pPr>
            <w:r>
              <w:rPr/>
              <w:t>Total Offering Amounts:</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3" w:name="MaxAggtOfferingPrice"/>
            <w:bookmarkEnd w:id="13"/>
            <w:r>
              <w:rPr/>
              <w:t xml:space="preserve">$ 348,499,000.00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$ 48,127.71 </w:t>
            </w:r>
          </w:p>
        </w:tc>
      </w:tr>
      <w:tr>
        <w:trPr/>
        <w:tc>
          <w:tcPr>
            <w:tcW w:w="4683" w:type="dxa"/>
            <w:gridSpan w:val="5"/>
            <w:tcBorders/>
            <w:vAlign w:val="center"/>
          </w:tcPr>
          <w:p>
            <w:pPr>
              <w:pStyle w:val="TableContents"/>
              <w:bidi w:val="0"/>
              <w:spacing w:before="0" w:after="0"/>
              <w:ind w:left="0" w:right="0" w:hanging="0"/>
              <w:jc w:val="right"/>
              <w:rPr/>
            </w:pPr>
            <w:r>
              <w:rPr/>
              <w:t xml:space="preserve">Total Fee Offsets: </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683" w:type="dxa"/>
            <w:gridSpan w:val="5"/>
            <w:tcBorders/>
            <w:vAlign w:val="center"/>
          </w:tcPr>
          <w:p>
            <w:pPr>
              <w:pStyle w:val="TableContents"/>
              <w:bidi w:val="0"/>
              <w:spacing w:before="0" w:after="0"/>
              <w:ind w:left="0" w:right="0" w:hanging="0"/>
              <w:jc w:val="right"/>
              <w:rPr/>
            </w:pPr>
            <w:r>
              <w:rPr/>
              <w:t xml:space="preserve">Net Fee Due: </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6" w:name="NetFeeAmt"/>
            <w:bookmarkEnd w:id="16"/>
            <w:r>
              <w:rPr/>
              <w:t xml:space="preserve">$ 48,127.71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(a) Pursuant to Rule 416(a) under the Securities Act, this Registration Statement covers any additional securities as reflected under the header "Amount Registered" as may hereinafter be offered or issued to prevent dilution resulting from stock splits, stock dividends, recapitalizations, other capital adjustments or similar transactions. (b) The amount reflected under the header "Proposed Maximum Offering Price Per Unit" is estimated pursuant to Rule 457(c) and 457(h) under the Securities Act solely for purposes of calculating the registration fee. The fee is computed based upon $32.57, which represents the average of the high and low prices per share of the Registrant's Common Stock on May 1, 2026, as reported on the Nasdaq Global Select Market. (c) As described in the Explanatory Note in this Registration Statement, the number of shares of Common Stock registered hereby under the header "Amount Registered" consists of 10,700,000 shares being registered under the Amended and Restated 2020 Equity Incentive Plan.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03696/000119312526076549/adea-20251231.htm" TargetMode="External"/><Relationship Id="rId3" Type="http://schemas.openxmlformats.org/officeDocument/2006/relationships/hyperlink" Target="https://www.sec.gov/ix?doc=/Archives/edgar/data/0001803696/000119312526208924/adea-20260331.htm" TargetMode="External"/><Relationship Id="rId4" Type="http://schemas.openxmlformats.org/officeDocument/2006/relationships/hyperlink" Target="https://www.sec.gov/ix?doc=/Archives/edgar/data/0001803696/000119312526022581/adea-20260122.htm" TargetMode="External"/><Relationship Id="rId5" Type="http://schemas.openxmlformats.org/officeDocument/2006/relationships/hyperlink" Target="https://www.sec.gov/ix?doc=/Archives/edgar/data/0001803696/000119312526203979/adea-20260504.htm" TargetMode="External"/><Relationship Id="rId6" Type="http://schemas.openxmlformats.org/officeDocument/2006/relationships/hyperlink" Target="https://www.sec.gov/Archives/edgar/data/1803696/000156459022006778/xper-ex41_15.htm" TargetMode="External"/><Relationship Id="rId7" Type="http://schemas.openxmlformats.org/officeDocument/2006/relationships/hyperlink" Target="https://www.sec.gov/Archives/edgar/data/1803696/000095017023005437/adea-ex3_2.htm" TargetMode="External"/><Relationship Id="rId8" Type="http://schemas.openxmlformats.org/officeDocument/2006/relationships/hyperlink" Target="https://www.sec.gov/Archives/edgar/data/1803696/000095017022023885/adea-ex3_2.htm" TargetMode="External"/><Relationship Id="rId9" Type="http://schemas.openxmlformats.org/officeDocument/2006/relationships/hyperlink" Target="https://www.sec.gov/Archives/edgar/data/1803696/000119312526076549/adea-ex4_1.htm" TargetMode="External"/><Relationship Id="rId10" Type="http://schemas.openxmlformats.org/officeDocument/2006/relationships/hyperlink" Target="https://www.sec.gov/Archives/edgar/data/1803696/000095017024057142/adea-ex4_4.htm" TargetMode="External"/><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2491</Words>
  <Characters>13320</Characters>
  <CharactersWithSpaces>15693</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