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dea-20260803.htm"/>
      <w:bookmarkStart w:id="1" w:name="ksadea20260803"/>
      <w:bookmarkEnd w:id="0"/>
      <w:bookmarkEnd w:id="1"/>
      <w:r>
        <w:rPr/>
        <w:t> </w:t>
      </w:r>
    </w:p>
    <w:p>
      <w:pPr>
        <w:pStyle w:val="TextBody"/>
        <w:pBdr>
          <w:top w:val="single" w:sz="6" w:space="1" w:color="000000"/>
          <w:bottom w:val="single" w:sz="6" w:space="1" w:color="000000"/>
        </w:pBdr>
        <w:bidi w:val="0"/>
        <w:jc w:val="left"/>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Date of report (Date of earliest event reported): August 3, 2026</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ADEIA INC.</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spacing w:before="0" w:after="180"/>
        <w:jc w:val="center"/>
        <w:rPr/>
      </w:pPr>
      <w:r>
        <w:rPr/>
        <w:t> </w:t>
      </w:r>
    </w:p>
    <w:tbl>
      <w:tblPr>
        <w:tblW w:w="5141" w:type="dxa"/>
        <w:jc w:val="left"/>
        <w:tblInd w:w="0" w:type="dxa"/>
        <w:tblLayout w:type="fixed"/>
        <w:tblCellMar>
          <w:top w:w="28" w:type="dxa"/>
          <w:left w:w="28" w:type="dxa"/>
          <w:bottom w:w="28" w:type="dxa"/>
          <w:right w:w="28" w:type="dxa"/>
        </w:tblCellMar>
      </w:tblPr>
      <w:tblGrid>
        <w:gridCol w:w="2236"/>
        <w:gridCol w:w="109"/>
        <w:gridCol w:w="1126"/>
        <w:gridCol w:w="109"/>
        <w:gridCol w:w="1561"/>
      </w:tblGrid>
      <w:tr>
        <w:trPr/>
        <w:tc>
          <w:tcPr>
            <w:tcW w:w="2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84-4734590</w:t>
            </w:r>
          </w:p>
        </w:tc>
      </w:tr>
      <w:tr>
        <w:trPr/>
        <w:tc>
          <w:tcPr>
            <w:tcW w:w="22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(Commission</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(I.R.S. Employer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Identification No.)</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3025 Orchard Parkway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San Jose, California</w:t>
      </w:r>
      <w:r>
        <w:rPr>
          <w:rFonts w:ascii="Times New Roman" w:hAnsi="Times New Roman"/>
          <w:color w:val="000000"/>
          <w:sz w:val="20"/>
        </w:rPr>
        <w:t xml:space="preserve"> </w:t>
      </w:r>
      <w:r>
        <w:rPr>
          <w:rFonts w:ascii="Times New Roman" w:hAnsi="Times New Roman"/>
          <w:b/>
          <w:color w:val="000000"/>
          <w:sz w:val="20"/>
        </w:rPr>
        <w:t>95134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(Address of Principal Executive Offices, including Zip Code)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(408) 473-2500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w:t>
      </w:r>
      <w:r>
        <w:rPr>
          <w:rFonts w:ascii="Times New Roman" w:hAnsi="Times New Roman"/>
          <w:color w:val="000000"/>
          <w:sz w:val="20"/>
        </w:rPr>
        <w:t xml:space="preserve"> </w:t>
      </w:r>
    </w:p>
    <w:p>
      <w:pPr>
        <w:pStyle w:val="TextBody"/>
        <w:pBdr>
          <w:bottom w:val="single" w:sz="4" w:space="1" w:color="000000"/>
        </w:pBdr>
        <w:bidi w:val="0"/>
        <w:spacing w:before="0" w:after="180"/>
        <w:jc w:val="center"/>
        <w:rPr/>
      </w:pPr>
      <w:r>
        <w:rPr/>
        <w:t> </w:t>
      </w:r>
    </w:p>
    <w:p>
      <w:pPr>
        <w:pStyle w:val="TextBody"/>
        <w:bidi w:val="0"/>
        <w:spacing w:before="60" w:after="24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Securities</w:t>
      </w:r>
      <w:r>
        <w:rPr>
          <w:rFonts w:ascii="Times New Roman" w:hAnsi="Times New Roman"/>
          <w:color w:val="000000"/>
          <w:sz w:val="20"/>
        </w:rPr>
        <w:t xml:space="preserve"> registered pursuant to Section 12(b) of the Act: </w:t>
      </w:r>
    </w:p>
    <w:p>
      <w:pPr>
        <w:pStyle w:val="TextBody"/>
        <w:bidi w:val="0"/>
        <w:jc w:val="left"/>
        <w:rPr/>
      </w:pPr>
      <w:r>
        <w:rPr/>
        <w:t> </w:t>
      </w:r>
    </w:p>
    <w:tbl>
      <w:tblPr>
        <w:tblW w:w="8448" w:type="dxa"/>
        <w:jc w:val="left"/>
        <w:tblInd w:w="0" w:type="dxa"/>
        <w:tblLayout w:type="fixed"/>
        <w:tblCellMar>
          <w:top w:w="28" w:type="dxa"/>
          <w:left w:w="28" w:type="dxa"/>
          <w:bottom w:w="28" w:type="dxa"/>
          <w:right w:w="28" w:type="dxa"/>
        </w:tblCellMar>
      </w:tblPr>
      <w:tblGrid>
        <w:gridCol w:w="3676"/>
        <w:gridCol w:w="9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94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7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9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ADEA</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231F1F"/>
          <w:sz w:val="20"/>
        </w:rPr>
      </w:pPr>
      <w:r>
        <w:rPr>
          <w:rFonts w:ascii="Times New Roman" w:hAnsi="Times New Roman"/>
          <w:color w:val="231F1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283"/>
        <w:jc w:val="left"/>
        <w:rPr>
          <w:rFonts w:ascii="Times New Roman" w:hAnsi="Times New Roman"/>
          <w:color w:val="231F1F"/>
          <w:sz w:val="20"/>
        </w:rPr>
      </w:pPr>
      <w:r>
        <w:rPr>
          <w:rFonts w:ascii="Times New Roman" w:hAnsi="Times New Roman"/>
          <w:color w:val="231F1F"/>
          <w:sz w:val="20"/>
        </w:rPr>
        <w:t>Emerging growth company ☐</w:t>
      </w:r>
    </w:p>
    <w:p>
      <w:pPr>
        <w:pStyle w:val="TextBody"/>
        <w:bidi w:val="0"/>
        <w:spacing w:before="240" w:after="283"/>
        <w:jc w:val="left"/>
        <w:rPr>
          <w:rFonts w:ascii="Times New Roman" w:hAnsi="Times New Roman"/>
          <w:color w:val="231F1F"/>
          <w:sz w:val="20"/>
        </w:rPr>
      </w:pPr>
      <w:r>
        <w:rPr>
          <w:rFonts w:ascii="Times New Roman" w:hAnsi="Times New Roman"/>
          <w:color w:val="231F1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TextBody"/>
        <w:pBdr>
          <w:top w:val="single" w:sz="6" w:space="1" w:color="000000"/>
          <w:bottom w:val="sing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18"/>
        </w:rPr>
      </w:pPr>
      <w:r>
        <w:rPr>
          <w:rFonts w:ascii="Times New Roman" w:hAnsi="Times New Roman"/>
          <w:b/>
          <w:color w:val="000000"/>
          <w:sz w:val="18"/>
        </w:rPr>
        <w:t>Item 2.02 Results of Operations and Financial Condition.</w:t>
      </w:r>
    </w:p>
    <w:p>
      <w:pPr>
        <w:pStyle w:val="TextBody"/>
        <w:bidi w:val="0"/>
        <w:spacing w:before="120" w:after="283"/>
        <w:jc w:val="left"/>
        <w:rPr>
          <w:rFonts w:ascii="Times New Roman" w:hAnsi="Times New Roman"/>
          <w:sz w:val="20"/>
        </w:rPr>
      </w:pPr>
      <w:r>
        <w:rPr>
          <w:rFonts w:ascii="Times New Roman" w:hAnsi="Times New Roman"/>
          <w:color w:val="000000"/>
          <w:sz w:val="18"/>
        </w:rPr>
        <w:t>On August 3, 2026, Adeia Inc. (the “Company” or “Adeia”) announced its financial results for the second quarter ended June 30, 2026. A copy of the Company’s press release announcing these financial results and other information regarding its financial condition is attached hereto as Exhibit 99.1 to this Form 8-K.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The information in Item 2.02 of this report,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18"/>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(d) Exhibits.</w:t>
      </w:r>
      <w:r>
        <w:rPr>
          <w:rFonts w:ascii="Times New Roman" w:hAnsi="Times New Roman"/>
          <w:color w:val="000000"/>
          <w:sz w:val="20"/>
        </w:rPr>
        <w:t xml:space="preserve"> </w:t>
      </w:r>
    </w:p>
    <w:tbl>
      <w:tblPr>
        <w:tblW w:w="7063" w:type="dxa"/>
        <w:jc w:val="left"/>
        <w:tblInd w:w="0" w:type="dxa"/>
        <w:tblLayout w:type="fixed"/>
        <w:tblCellMar>
          <w:top w:w="28" w:type="dxa"/>
          <w:left w:w="28" w:type="dxa"/>
          <w:bottom w:w="28" w:type="dxa"/>
          <w:right w:w="28" w:type="dxa"/>
        </w:tblCellMar>
      </w:tblPr>
      <w:tblGrid>
        <w:gridCol w:w="1081"/>
        <w:gridCol w:w="146"/>
        <w:gridCol w:w="583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120" w:after="283"/>
              <w:jc w:val="center"/>
              <w:rPr/>
            </w:pPr>
            <w:r>
              <w:rPr/>
              <w:t> </w:t>
            </w:r>
          </w:p>
        </w:tc>
        <w:tc>
          <w:tcPr>
            <w:tcW w:w="5836"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hyperlink w:anchor="adea-ex99_1.htm">
              <w:r>
                <w:rPr>
                  <w:rStyle w:val="InternetLink"/>
                  <w:rFonts w:ascii="Times New Roman" w:hAnsi="Times New Roman"/>
                  <w:color w:val="0000FF"/>
                  <w:sz w:val="18"/>
                  <w:u w:val="single"/>
                </w:rPr>
                <w:t>Press Release dated August 3,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18"/>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Pursuant to the requirements of the Securities Exchange Act of 1934, the registrant has duly caused this report to be signed on its behalf by the undersigned hereunto duly authorized.</w:t>
      </w:r>
      <w:r>
        <w:rPr>
          <w:rFonts w:ascii="Times New Roman" w:hAnsi="Times New Roman"/>
          <w:color w:val="000000"/>
          <w:sz w:val="20"/>
        </w:rPr>
        <w:t xml:space="preserve"> </w:t>
      </w:r>
    </w:p>
    <w:tbl>
      <w:tblPr>
        <w:tblW w:w="4446" w:type="dxa"/>
        <w:jc w:val="left"/>
        <w:tblInd w:w="0" w:type="dxa"/>
        <w:tblLayout w:type="fixed"/>
        <w:tblCellMar>
          <w:top w:w="28" w:type="dxa"/>
          <w:left w:w="28" w:type="dxa"/>
          <w:bottom w:w="28" w:type="dxa"/>
          <w:right w:w="28" w:type="dxa"/>
        </w:tblCellMar>
      </w:tblPr>
      <w:tblGrid>
        <w:gridCol w:w="1651"/>
        <w:gridCol w:w="146"/>
        <w:gridCol w:w="146"/>
        <w:gridCol w:w="571"/>
        <w:gridCol w:w="146"/>
        <w:gridCol w:w="178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August 3,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18"/>
              </w:rPr>
            </w:pPr>
            <w:r>
              <w:rPr>
                <w:rFonts w:ascii="Times New Roman" w:hAnsi="Times New Roman"/>
                <w:b/>
                <w:caps/>
                <w:color w:val="000000"/>
                <w:sz w:val="18"/>
              </w:rPr>
              <w:t>ADEIA INC.</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Keith A. Jones</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Keith A. Jones</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adea-ex99_1.htm"/>
      <w:bookmarkStart w:id="3" w:name="ksadeaex99_1"/>
      <w:bookmarkEnd w:id="2"/>
      <w:bookmarkEnd w:id="3"/>
      <w:r>
        <w:rPr/>
        <w:t> </w:t>
      </w:r>
      <w:r>
        <w:br w:type="page"/>
      </w:r>
    </w:p>
    <w:p>
      <w:pPr>
        <w:pStyle w:val="TextBody"/>
        <w:bidi w:val="0"/>
        <w:jc w:val="righ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283"/>
              <w:jc w:val="left"/>
              <w:rPr>
                <w:sz w:val="4"/>
                <w:szCs w:val="4"/>
              </w:rPr>
            </w:pPr>
            <w:r>
              <w:rPr>
                <w:sz w:val="4"/>
                <w:szCs w:val="4"/>
              </w:rPr>
            </w:r>
          </w:p>
        </w:tc>
      </w:tr>
      <w:tr>
        <w:trPr/>
        <w:tc>
          <w:tcPr>
            <w:tcW w:w="2761" w:type="dxa"/>
            <w:tcBorders/>
            <w:tcMar>
              <w:top w:w="0" w:type="dxa"/>
              <w:left w:w="0" w:type="dxa"/>
              <w:bottom w:w="0" w:type="dxa"/>
              <w:right w:w="0" w:type="dxa"/>
            </w:tcMar>
            <w:vAlign w:val="center"/>
          </w:tcPr>
          <w:p>
            <w:pPr>
              <w:pStyle w:val="TableContents"/>
              <w:bidi w:val="0"/>
              <w:jc w:val="right"/>
              <w:rPr>
                <w:rFonts w:ascii="Times New Roman" w:hAnsi="Times New Roman"/>
                <w:b/>
                <w:color w:val="000000"/>
                <w:sz w:val="18"/>
              </w:rPr>
            </w:pPr>
            <w:r>
              <w:rPr>
                <w:rFonts w:ascii="Times New Roman" w:hAnsi="Times New Roman"/>
                <w:b/>
                <w:color w:val="000000"/>
                <w:sz w:val="18"/>
              </w:rPr>
              <w:t>Exhibit 99.1</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IMMEDIATE RELEASE</w:t>
            </w:r>
          </w:p>
        </w:tc>
      </w:tr>
      <w:tr>
        <w:trPr/>
        <w:tc>
          <w:tcPr>
            <w:tcW w:w="276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16478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619125"/>
                          </a:xfrm>
                          <a:prstGeom prst="rect">
                            <a:avLst/>
                          </a:prstGeom>
                        </pic:spPr>
                      </pic:pic>
                    </a:graphicData>
                  </a:graphic>
                </wp:inline>
              </w:drawing>
            </w:r>
          </w:p>
        </w:tc>
      </w:tr>
    </w:tbl>
    <w:p>
      <w:pPr>
        <w:pStyle w:val="TextBody"/>
        <w:bidi w:val="0"/>
        <w:jc w:val="left"/>
        <w:rPr/>
      </w:pPr>
      <w:r>
        <w:rPr/>
        <w:t> </w:t>
      </w:r>
    </w:p>
    <w:p>
      <w:pPr>
        <w:pStyle w:val="TextBody"/>
        <w:bidi w:val="0"/>
        <w:jc w:val="center"/>
        <w:rPr>
          <w:rFonts w:ascii="Times New Roman" w:hAnsi="Times New Roman"/>
          <w:b/>
          <w:caps/>
          <w:color w:val="000000"/>
          <w:sz w:val="24"/>
        </w:rPr>
      </w:pPr>
      <w:r>
        <w:rPr>
          <w:rFonts w:ascii="Times New Roman" w:hAnsi="Times New Roman"/>
          <w:b/>
          <w:caps/>
          <w:color w:val="000000"/>
          <w:sz w:val="24"/>
        </w:rPr>
        <w:t>ADEIA ANNOUNCES SECOND QUARTER 2026 FINANCIAL RESULTS</w:t>
      </w:r>
    </w:p>
    <w:p>
      <w:pPr>
        <w:pStyle w:val="TextBody"/>
        <w:bidi w:val="0"/>
        <w:jc w:val="center"/>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Signed multi-year license renewal with Google, which includes YouTube TV, one of the largest Pay-TV providers</w:t>
      </w:r>
    </w:p>
    <w:p>
      <w:pPr>
        <w:pStyle w:val="TextBody"/>
        <w:bidi w:val="0"/>
        <w:jc w:val="center"/>
        <w:rPr>
          <w:rFonts w:ascii="Times New Roman" w:hAnsi="Times New Roman"/>
          <w:b/>
          <w:i/>
          <w:color w:val="000000"/>
          <w:sz w:val="20"/>
        </w:rPr>
      </w:pPr>
      <w:r>
        <w:rPr>
          <w:rFonts w:ascii="Times New Roman" w:hAnsi="Times New Roman"/>
          <w:b/>
          <w:i/>
          <w:color w:val="000000"/>
          <w:sz w:val="20"/>
        </w:rPr>
        <w:t>Signed multi-year license agreement with RPX, encompassing 10 new e-commerce customers</w:t>
      </w:r>
    </w:p>
    <w:p>
      <w:pPr>
        <w:pStyle w:val="TextBody"/>
        <w:bidi w:val="0"/>
        <w:jc w:val="center"/>
        <w:rPr>
          <w:rFonts w:ascii="Times New Roman" w:hAnsi="Times New Roman"/>
          <w:sz w:val="20"/>
        </w:rPr>
      </w:pPr>
      <w:r>
        <w:rPr>
          <w:rFonts w:ascii="Times New Roman" w:hAnsi="Times New Roman"/>
          <w:b/>
          <w:i/>
          <w:color w:val="000000"/>
          <w:sz w:val="20"/>
        </w:rPr>
        <w:t>Long-term annual revenue outlook increased to $600 million on the strength of our semiconductor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 xml:space="preserve">SAN JOSE, Calif. – August 3, 2026 – </w:t>
      </w:r>
      <w:r>
        <w:rPr>
          <w:rFonts w:ascii="Times New Roman" w:hAnsi="Times New Roman"/>
          <w:color w:val="000000"/>
          <w:sz w:val="18"/>
        </w:rPr>
        <w:t>Adeia Inc. (Nasdaq: ADEA) (the “Company” or “Adeia”) today announced financial results for the second quarter ended June 30, 2026.</w:t>
      </w:r>
    </w:p>
    <w:p>
      <w:pPr>
        <w:pStyle w:val="TextBody"/>
        <w:bidi w:val="0"/>
        <w:spacing w:before="240" w:after="283"/>
        <w:jc w:val="left"/>
        <w:rPr>
          <w:color w:val="000000"/>
        </w:rPr>
      </w:pPr>
      <w:r>
        <w:rPr>
          <w:color w:val="000000"/>
        </w:rPr>
        <w:t>“</w:t>
      </w:r>
      <w:r>
        <w:rPr>
          <w:rFonts w:ascii="Times New Roman" w:hAnsi="Times New Roman"/>
          <w:color w:val="000000"/>
          <w:sz w:val="18"/>
        </w:rPr>
        <w:t>Second quarter revenue of $96 million was in line with our expectations, and we generated $55 million in operating cash flow with a 59% adjusted EBITDA margin,” said Paul E. Davis, chief executive officer of Adeia. “We closed six license agreements during the quarter, across OTT, e-commerce, consumer electronics and Pay-TV. We closed a significant multi-year renewal with Google, which has been a valued licensee for approximately 15 years and whose YouTube TV platform is one of the fastest growing Pay-TV services in the country. We also signed a seminal, multi-year license agreement with RPX, adding 10 new e-commerce customers under a single agreement. With the RPX deal and a new license agreement with L'Oréal, we now have 15 customers across six agreements in e-commerce — a business we built from the ground up over just the past two years. Non-Pay-TV recurring revenue for the quarter grew 54% year-over-year, continuing a multi-quarter trend as our non-Pay-TV pipeline remains robust and continues to grow.”</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Davis continued, “We are raising our long-term annual revenue outlook to $600 million from $500 million driven by confidence in our semiconductor business being able to reach $200 million in annual revenue. This new semiconductor outlook is based on the trajectory of hybrid bonding adoption across both memory and logic in connection with the AI infrastructure build-out and high-performance computing demand. Our media growth target remains strong at $400 million, supported by continued momentum in OTT, e-commerce, consumer electronics and social media. I am very pleased with the progress we have made in the first half of the year and we remain focused on execution across the business to achieve our goals for the year. Our strategic initiatives remain on track, including increasing our long-term revenue, growing our IP portfolio primarily through our organic innovation engine, maintaining a balanced capital allocation approach and growing our opportunity pipeline.”</w:t>
      </w:r>
    </w:p>
    <w:p>
      <w:pPr>
        <w:pStyle w:val="TextBody"/>
        <w:bidi w:val="0"/>
        <w:spacing w:before="240" w:after="283"/>
        <w:jc w:val="left"/>
        <w:rPr>
          <w:rFonts w:ascii="Times New Roman" w:hAnsi="Times New Roman"/>
          <w:sz w:val="20"/>
        </w:rPr>
      </w:pPr>
      <w:r>
        <w:rPr>
          <w:rFonts w:ascii="Times New Roman" w:hAnsi="Times New Roman"/>
          <w:b/>
          <w:color w:val="000000"/>
          <w:sz w:val="18"/>
        </w:rPr>
        <w:t>Second Quarter Financial Highlights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Revenue was $96.1 million as compared to $104.8 million in the first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GAAP diluted earnings per share (EPS) was $0.15 and non-GAAP diluted EPS was $0.34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GAAP net income was $17.4 million and adjusted EBITDA was $56.4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Cash flow from operations was $54.6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Paid down $6.1 million on our term loan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Repurchased $10.0 million of our common stock</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Business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Signed six license agreements, adding a record 12 new customers in the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Signed a multi-year renewal with Google, which includes YouTube TV, one of the largest Pay-TV providers, for access to our media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Signed a multi-year license agreement with RPX, a leading provider of patent risk management solutions, encompassing 10 new e-commerce customers, for access to our media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Signed a new multi-year license agreement with L'Oréal, a leading cosmetics and personal care company, for access to our media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Signed a new multi-year license agreement with a domestic OTT provider of documentary programming and license renewals with a leading European Pay-TV provider and a consumer electronics manufacturer in Japan, all for access to our media portfolio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Capital Allocation</w:t>
      </w:r>
    </w:p>
    <w:p>
      <w:pPr>
        <w:pStyle w:val="TextBody"/>
        <w:bidi w:val="0"/>
        <w:spacing w:before="240" w:after="283"/>
        <w:jc w:val="left"/>
        <w:rPr>
          <w:rFonts w:ascii="Times New Roman" w:hAnsi="Times New Roman"/>
          <w:sz w:val="20"/>
        </w:rPr>
      </w:pPr>
      <w:r>
        <w:rPr>
          <w:rFonts w:ascii="Times New Roman" w:hAnsi="Times New Roman"/>
          <w:color w:val="000000"/>
          <w:sz w:val="18"/>
        </w:rPr>
        <w:t>During the quarter, the Company made $6.1 million in principal payments towards its term loan, bringing the outstanding balance to $392.6 million as of June 30,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During the quarter, the Company repurchased $10.0 million of its common stock, representing 0.4 million shares and bringing the remaining amount available under its stock repurchase plan to $140.0 million as of June 30,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On June 15, 2026, the Company distributed $5.5 million to stockholders of record on May 26, 2026, for a quarterly cash dividend of $0.05 per share of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Board of Directors declared a dividend of $0.05 per share, payable on September 14, 2026, to stockholders of record on August 24, 2026.</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Financial Outlook</w:t>
      </w:r>
    </w:p>
    <w:p>
      <w:pPr>
        <w:pStyle w:val="TextBody"/>
        <w:bidi w:val="0"/>
        <w:spacing w:before="240" w:after="240"/>
        <w:jc w:val="left"/>
        <w:rPr>
          <w:rFonts w:ascii="Times New Roman" w:hAnsi="Times New Roman"/>
          <w:sz w:val="20"/>
        </w:rPr>
      </w:pPr>
      <w:r>
        <w:rPr>
          <w:rFonts w:ascii="Times New Roman" w:hAnsi="Times New Roman"/>
          <w:color w:val="000000"/>
          <w:sz w:val="18"/>
        </w:rPr>
        <w:t>The Company is reiterating its full year 2026 outlook as follows:</w:t>
      </w:r>
      <w:r>
        <w:rPr>
          <w:rFonts w:ascii="Times New Roman" w:hAnsi="Times New Roman"/>
          <w:color w:val="000000"/>
          <w:sz w:val="20"/>
        </w:rPr>
        <w:t xml:space="preserve"> </w:t>
      </w:r>
    </w:p>
    <w:tbl>
      <w:tblPr>
        <w:tblW w:w="6426" w:type="dxa"/>
        <w:jc w:val="left"/>
        <w:tblInd w:w="0" w:type="dxa"/>
        <w:tblLayout w:type="fixed"/>
        <w:tblCellMar>
          <w:top w:w="28" w:type="dxa"/>
          <w:left w:w="28" w:type="dxa"/>
          <w:bottom w:w="28" w:type="dxa"/>
          <w:right w:w="28" w:type="dxa"/>
        </w:tblCellMar>
      </w:tblPr>
      <w:tblGrid>
        <w:gridCol w:w="2776"/>
        <w:gridCol w:w="146"/>
        <w:gridCol w:w="1381"/>
        <w:gridCol w:w="146"/>
        <w:gridCol w:w="178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Category </w:t>
              <w:br/>
              <w:t>(in millions, except for tax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br/>
              <w:t>GAAP Outlook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br/>
              <w:t>Non-GAAP Outlook</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$395.0 − 435.0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$395.0 − 435.0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$295.0 − 305.0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$184.0 − 192.0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$34.0 − 36.0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$34.0 − 36.0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income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$57.2 − 80.4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$144.2 − 168.7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EBITDA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$213.4 − 245.4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114.0 − 115.0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114.0 − 115.0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2"/>
        </w:rPr>
        <w:t xml:space="preserve">(1) </w:t>
      </w:r>
      <w:r>
        <w:rPr>
          <w:rFonts w:ascii="Times New Roman" w:hAnsi="Times New Roman"/>
          <w:color w:val="000000"/>
          <w:sz w:val="18"/>
        </w:rPr>
        <w:t>See tables for reconciliation of GAAP to non-GAAP operating expenses.</w:t>
      </w:r>
    </w:p>
    <w:p>
      <w:pPr>
        <w:pStyle w:val="TextBody"/>
        <w:bidi w:val="0"/>
        <w:spacing w:before="120" w:after="283"/>
        <w:jc w:val="left"/>
        <w:rPr>
          <w:rFonts w:ascii="Times New Roman" w:hAnsi="Times New Roman"/>
          <w:sz w:val="20"/>
        </w:rPr>
      </w:pPr>
      <w:r>
        <w:rPr>
          <w:rFonts w:ascii="Times New Roman" w:hAnsi="Times New Roman"/>
          <w:color w:val="000000"/>
          <w:sz w:val="12"/>
        </w:rPr>
        <w:t xml:space="preserve">(2) </w:t>
      </w:r>
      <w:r>
        <w:rPr>
          <w:rFonts w:ascii="Times New Roman" w:hAnsi="Times New Roman"/>
          <w:color w:val="000000"/>
          <w:sz w:val="18"/>
        </w:rPr>
        <w:t>See tables for reconciliation of GAAP net income to (i) non-GAAP net income and (ii) adjusted earnings before interest expense, income taxes, depreciation and amortization (adjusted EBITDA).</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Conference Call Information</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The Company will hold its second quarter 2026 earnings conference call at 2:00 PM Pacific Time (5:00 PM Eastern Time) on Monday, August 3, 2026. To access the call in the U.S., please dial +1 (888) 660-6411, and for international callers, dial +1 (929) 203-0849. All participants should dial in 15 minutes prior to the start of the conference call. The Company also suggests utilizing the webcast link to access the live call and the replay at </w:t>
      </w:r>
      <w:r>
        <w:rPr>
          <w:rFonts w:ascii="Times New Roman" w:hAnsi="Times New Roman"/>
          <w:sz w:val="18"/>
        </w:rPr>
        <w:t>Q2 2026 Earnings Call Webcast</w:t>
      </w:r>
      <w:r>
        <w:rPr>
          <w:rFonts w:ascii="Times New Roman" w:hAnsi="Times New Roman"/>
          <w:color w:val="000000"/>
          <w:sz w:val="18"/>
        </w:rPr>
        <w:t xml:space="preserve">. A live and replay webcast will be available on the Adeia Investor Relations website at </w:t>
      </w:r>
      <w:r>
        <w:rPr>
          <w:rFonts w:ascii="Times New Roman" w:hAnsi="Times New Roman"/>
          <w:sz w:val="18"/>
        </w:rPr>
        <w:t>https://investors.adeia.com</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Safe Harbor Statement</w:t>
      </w:r>
    </w:p>
    <w:p>
      <w:pPr>
        <w:pStyle w:val="TextBody"/>
        <w:bidi w:val="0"/>
        <w:spacing w:before="240" w:after="283"/>
        <w:jc w:val="left"/>
        <w:rPr>
          <w:rFonts w:ascii="Times New Roman" w:hAnsi="Times New Roman"/>
          <w:sz w:val="20"/>
        </w:rPr>
      </w:pPr>
      <w:r>
        <w:rPr>
          <w:rFonts w:ascii="Times New Roman" w:hAnsi="Times New Roman"/>
          <w:color w:val="000000"/>
          <w:sz w:val="18"/>
        </w:rPr>
        <w:t>This press release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in which the Company operates; the evolving legal, regulatory and tax regimes under which the Company operates; unforeseen liabilities and expenses; risks associated with the Company’s indebtedness; unpredictability and severity of catastrophic events, including, but not limited to, acts of terrorism or outbreak of war or hostilities, natural disasters and global health pandemics, each of which may have an adverse impact on the Company’s business, results of operations, and financial condition. These risks, as well as other risks associated with the Company’s business, are more fully discussed in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Company’s filings with the U.S. Securities and Exchange Commission (“SEC”), including the Company’s Annual Report on Form 10-K and Quarterly Reports on Form 10-Q. While the list of factors presented here is, and the list of factors presented in the Company’s filings with the SEC are,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Causes of material differences in results as compared with those anticipated in the forward-looking statements could include, among other things, business disruption, operational problems, failure to complete licensing arrangements on anticipated terms and timeline, failure to prevail in litigation we may bring against third parties, financial loss, legal liability to third parties and similar risks, and failure to attract or retain employees, any of which could have a material adverse effect on the Company’s consolidated financial condition, results of operations, liquidity or trading price of common stock. The Company does not assume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240" w:after="283"/>
        <w:jc w:val="left"/>
        <w:rPr>
          <w:rFonts w:ascii="Times New Roman" w:hAnsi="Times New Roman"/>
          <w:sz w:val="20"/>
        </w:rPr>
      </w:pPr>
      <w:r>
        <w:rPr>
          <w:rFonts w:ascii="Times New Roman" w:hAnsi="Times New Roman"/>
          <w:b/>
          <w:color w:val="000000"/>
          <w:sz w:val="18"/>
        </w:rPr>
        <w:t>About Adeia Inc.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Adeia is a leading R&amp;D and intellectual property (IP) licensing company that accelerates the adoption of innovative technologies in the media and semiconductor industries. Adeia’s fundamental innovations underpin technology solutions that are shaping and elevating the future of digital entertainment and electronics. Adeia’s IP portfolios power the connected devices that touch the lives of millions of people around the world every day as they live, work and play. For more, please visit </w:t>
      </w:r>
      <w:r>
        <w:rPr>
          <w:rFonts w:ascii="Times New Roman" w:hAnsi="Times New Roman"/>
          <w:sz w:val="18"/>
        </w:rPr>
        <w:t>www.adeia.com</w:t>
      </w:r>
      <w:r>
        <w:rPr>
          <w:rFonts w:ascii="Times New Roman" w:hAnsi="Times New Roman"/>
          <w:color w:val="000000"/>
          <w:sz w:val="18"/>
        </w:rPr>
        <w:t>.</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Non-GAAP Financial Measures</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disclosing financial results calculated in accordance with U.S. Generally Accepted Accounting Principles (GAAP), the Company’s earnings release contains non-GAAP financial measures adjusted, where applicable, for either one-time or ongoing non-cash acquired intangibles amortization charges, costs related to actual or planned business combinations including transaction fees, integration costs, severance, facility closures, and retention bonuses, separation costs, all forms of stock-based compensation, leadership transition costs, loss on debt extinguishment, expensed debt refinancing costs, impairment of intangible assets, impact of certain foreign currency adjustments, discontinued operations and related tax effects. In addition, adjusted EBITDA adjusts for recurring charges of interest expense, income taxes, depreciation and amortization. Management believes that the non-GAAP measures used in this release provide investors with important perspectives on the Company’s ongoing business and financial performance and are helpful to provide investors with an understanding of our core operating results reflecting our normal business operations. The non-GAAP financial measures disclosed by the Company should not be considered a substitute for, or superior to, financial measures calculated in accordance with GAAP. Our use of non-GAAP financial measures has certain limitations in that the non-GAAP financial measures we use may not be directly comparable to those reported by other companies. For example, the terms used in this press release, such as EBITDA margin, which is defined as EBITDA as a percentage of revenue, adjusted EBITDA, adjusted EBITDA margin, non-GAAP operating expenses, non-GAAP net income and non-GAAP diluted earnings per share (EPS) do not have a standardized meaning. Other companies may use the same or similarly named measures, but exclude different items, which may not provide investors with a comparable view of our performance in relation to other companies. We seek to compensate for the limitation of our non-GAAP presentation by providing a detailed reconciliation of the non-GAAP financial measures to the most directly comparable GAAP measures in the tables attached hereto. Investors are encouraged to review the related GAAP financial measures and the reconciliation of these non-GAAP financial measures to their most directly comparable GAAP financial measures. All financial data is presented on a GAAP basis except where the Company indicates its presentation is on a non-GAAP basis.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Set forth below are reconciliations of the Company’s reported and forecasted GAAP to non-GAAP financial metrics.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Investor Contact: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Chris Chaney</w:t>
      </w:r>
    </w:p>
    <w:p>
      <w:pPr>
        <w:pStyle w:val="TextBody"/>
        <w:bidi w:val="0"/>
        <w:jc w:val="left"/>
        <w:rPr>
          <w:rFonts w:ascii="Times New Roman" w:hAnsi="Times New Roman"/>
          <w:color w:val="000000"/>
          <w:sz w:val="18"/>
        </w:rPr>
      </w:pPr>
      <w:r>
        <w:rPr>
          <w:rFonts w:ascii="Times New Roman" w:hAnsi="Times New Roman"/>
          <w:color w:val="000000"/>
          <w:sz w:val="18"/>
        </w:rPr>
        <w:t>Vice President, Investor Relations</w:t>
      </w:r>
    </w:p>
    <w:p>
      <w:pPr>
        <w:pStyle w:val="TextBody"/>
        <w:bidi w:val="0"/>
        <w:jc w:val="left"/>
        <w:rPr>
          <w:rFonts w:ascii="Times New Roman" w:hAnsi="Times New Roman"/>
          <w:sz w:val="18"/>
        </w:rPr>
      </w:pPr>
      <w:r>
        <w:rPr>
          <w:rFonts w:ascii="Times New Roman" w:hAnsi="Times New Roman"/>
          <w:sz w:val="18"/>
        </w:rPr>
        <w:t>IR@adeia.com</w:t>
      </w:r>
    </w:p>
    <w:p>
      <w:pPr>
        <w:pStyle w:val="TextBody"/>
        <w:bidi w:val="0"/>
        <w:jc w:val="center"/>
        <w:rPr>
          <w:color w:val="000000"/>
        </w:rPr>
      </w:pPr>
      <w:r>
        <w:rPr>
          <w:color w:val="000000"/>
        </w:rPr>
        <w:t xml:space="preserve">– </w:t>
      </w:r>
      <w:r>
        <w:rPr>
          <w:rFonts w:ascii="Times New Roman" w:hAnsi="Times New Roman"/>
          <w:color w:val="000000"/>
          <w:sz w:val="18"/>
        </w:rPr>
        <w:t>Tables Follow –</w:t>
      </w:r>
    </w:p>
    <w:p>
      <w:pPr>
        <w:pStyle w:val="TextBody"/>
        <w:bidi w:val="0"/>
        <w:jc w:val="center"/>
        <w:rPr>
          <w:rFonts w:ascii="Times New Roman" w:hAnsi="Times New Roman"/>
          <w:b/>
          <w:color w:val="000000"/>
          <w:sz w:val="18"/>
        </w:rPr>
      </w:pPr>
      <w:r>
        <w:rPr>
          <w:rFonts w:ascii="Times New Roman" w:hAnsi="Times New Roman"/>
          <w:b/>
          <w:color w:val="000000"/>
          <w:sz w:val="18"/>
        </w:rPr>
        <w:t>SOURCE: ADEIA INC.</w:t>
      </w:r>
    </w:p>
    <w:p>
      <w:pPr>
        <w:pStyle w:val="TextBody"/>
        <w:bidi w:val="0"/>
        <w:jc w:val="center"/>
        <w:rPr>
          <w:rFonts w:ascii="Times New Roman" w:hAnsi="Times New Roman"/>
          <w:sz w:val="20"/>
        </w:rPr>
      </w:pPr>
      <w:r>
        <w:rPr>
          <w:rFonts w:ascii="Times New Roman" w:hAnsi="Times New Roman"/>
          <w:b/>
          <w:color w:val="000000"/>
          <w:sz w:val="18"/>
        </w:rPr>
        <w:t>ADEA</w:t>
      </w:r>
      <w:r>
        <w:rPr>
          <w:rFonts w:ascii="Times New Roman" w:hAnsi="Times New Roman"/>
          <w:color w:val="000000"/>
          <w:sz w:val="20"/>
        </w:rP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spacing w:before="0" w:after="60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564"/>
        <w:gridCol w:w="146"/>
        <w:gridCol w:w="211"/>
        <w:gridCol w:w="781"/>
        <w:gridCol w:w="166"/>
        <w:gridCol w:w="146"/>
        <w:gridCol w:w="211"/>
        <w:gridCol w:w="781"/>
        <w:gridCol w:w="166"/>
        <w:gridCol w:w="146"/>
        <w:gridCol w:w="211"/>
        <w:gridCol w:w="781"/>
        <w:gridCol w:w="166"/>
        <w:gridCol w:w="146"/>
        <w:gridCol w:w="211"/>
        <w:gridCol w:w="781"/>
        <w:gridCol w:w="591"/>
      </w:tblGrid>
      <w:tr>
        <w:trPr/>
        <w:tc>
          <w:tcPr>
            <w:tcW w:w="4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used in per share calculations: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108,387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112,597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600"/>
        <w:jc w:val="center"/>
        <w:rPr>
          <w:rFonts w:ascii="Times New Roman" w:hAnsi="Times New Roman"/>
          <w:b/>
          <w:color w:val="000000"/>
          <w:sz w:val="20"/>
        </w:rPr>
      </w:pPr>
      <w:r>
        <w:rPr>
          <w:rFonts w:ascii="Times New Roman" w:hAnsi="Times New Roman"/>
          <w:b/>
          <w:color w:val="000000"/>
          <w:sz w:val="20"/>
        </w:rPr>
        <w:t>(unaudited)</w:t>
      </w:r>
    </w:p>
    <w:tbl>
      <w:tblPr>
        <w:tblW w:w="8397" w:type="dxa"/>
        <w:jc w:val="left"/>
        <w:tblInd w:w="0" w:type="dxa"/>
        <w:tblLayout w:type="fixed"/>
        <w:tblCellMar>
          <w:top w:w="28" w:type="dxa"/>
          <w:left w:w="28" w:type="dxa"/>
          <w:bottom w:w="28" w:type="dxa"/>
          <w:right w:w="28" w:type="dxa"/>
        </w:tblCellMar>
      </w:tblPr>
      <w:tblGrid>
        <w:gridCol w:w="4846"/>
        <w:gridCol w:w="146"/>
        <w:gridCol w:w="211"/>
        <w:gridCol w:w="931"/>
        <w:gridCol w:w="166"/>
        <w:gridCol w:w="146"/>
        <w:gridCol w:w="232"/>
        <w:gridCol w:w="1028"/>
        <w:gridCol w:w="6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136,733</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contracts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129,829</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303,958</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unbilled contracts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8,177</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303,456</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313,660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54,440</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1,039,303</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20,975</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19,726</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79,778</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49,975</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397,479</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7,273</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15,523</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558,762</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685,992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(297,778</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92,139</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480,541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1,039,303</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5" w:name="condensed_condolidated_cash_flows"/>
      <w:bookmarkEnd w:id="5"/>
      <w:r>
        <w:rPr>
          <w:rFonts w:ascii="Times New Roman" w:hAnsi="Times New Roman"/>
          <w:b/>
          <w:color w:val="000000"/>
          <w:sz w:val="20"/>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600"/>
        <w:jc w:val="center"/>
        <w:rPr>
          <w:rFonts w:ascii="Times New Roman" w:hAnsi="Times New Roman"/>
          <w:b/>
          <w:color w:val="000000"/>
          <w:sz w:val="20"/>
        </w:rPr>
      </w:pPr>
      <w:r>
        <w:rPr>
          <w:rFonts w:ascii="Times New Roman" w:hAnsi="Times New Roman"/>
          <w:b/>
          <w:color w:val="000000"/>
          <w:sz w:val="20"/>
        </w:rPr>
        <w:t>(unaudited)</w:t>
      </w:r>
    </w:p>
    <w:tbl>
      <w:tblPr>
        <w:tblW w:w="10074" w:type="dxa"/>
        <w:jc w:val="left"/>
        <w:tblInd w:w="0" w:type="dxa"/>
        <w:tblLayout w:type="fixed"/>
        <w:tblCellMar>
          <w:top w:w="28" w:type="dxa"/>
          <w:left w:w="28" w:type="dxa"/>
          <w:bottom w:w="28" w:type="dxa"/>
          <w:right w:w="28" w:type="dxa"/>
        </w:tblCellMar>
      </w:tblPr>
      <w:tblGrid>
        <w:gridCol w:w="6666"/>
        <w:gridCol w:w="146"/>
        <w:gridCol w:w="211"/>
        <w:gridCol w:w="781"/>
        <w:gridCol w:w="166"/>
        <w:gridCol w:w="146"/>
        <w:gridCol w:w="211"/>
        <w:gridCol w:w="736"/>
        <w:gridCol w:w="1011"/>
      </w:tblGrid>
      <w:tr>
        <w:trPr/>
        <w:tc>
          <w:tcPr>
            <w:tcW w:w="6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Unbilled contracts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80,256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on debt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program and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common stock for tax withholdings on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84,247</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b/>
          <w:color w:val="000000"/>
          <w:sz w:val="20"/>
        </w:rPr>
      </w:pPr>
      <w:r>
        <w:rPr>
          <w:rFonts w:ascii="Times New Roman" w:hAnsi="Times New Roman"/>
          <w:b/>
          <w:color w:val="000000"/>
          <w:sz w:val="20"/>
        </w:rPr>
        <w:t>GAAP TO NON-GAAP RECONCILIATIONS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spacing w:before="0" w:after="60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004"/>
        <w:gridCol w:w="146"/>
        <w:gridCol w:w="211"/>
        <w:gridCol w:w="676"/>
        <w:gridCol w:w="166"/>
        <w:gridCol w:w="146"/>
        <w:gridCol w:w="211"/>
        <w:gridCol w:w="736"/>
        <w:gridCol w:w="166"/>
        <w:gridCol w:w="146"/>
        <w:gridCol w:w="211"/>
        <w:gridCol w:w="736"/>
        <w:gridCol w:w="166"/>
        <w:gridCol w:w="146"/>
        <w:gridCol w:w="211"/>
        <w:gridCol w:w="736"/>
        <w:gridCol w:w="391"/>
      </w:tblGrid>
      <w:tr>
        <w:trPr/>
        <w:tc>
          <w:tcPr>
            <w:tcW w:w="5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costs recorded in 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Leadership transition and other related costs recorded in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Separation and other related costs recorded in selling, general and administrative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Non-GAAP tax adjustment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GAAP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costs recorded in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Leadership transition and other related costs recorded in 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Separation and other related costs recorded in selling, general and administrative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Non-GAAP tax adjustment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Represents separation and related costs that were incurred subsequent to the separation on October 1, 2022, including expenses incurred on a transitional basis under a contract shared with Xperi Inc.</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1"/>
        </w:rPr>
        <w:t>(2)</w:t>
      </w:r>
      <w:r>
        <w:rPr>
          <w:rFonts w:ascii="Times New Roman" w:hAnsi="Times New Roman"/>
          <w:color w:val="000000"/>
          <w:sz w:val="20"/>
        </w:rPr>
        <w:t xml:space="preserve"> </w:t>
      </w:r>
      <w:r>
        <w:rPr>
          <w:rFonts w:ascii="Times New Roman" w:hAnsi="Times New Roman"/>
          <w:color w:val="000000"/>
          <w:sz w:val="16"/>
        </w:rPr>
        <w:t>The provision for income taxes is adjusted to reflect the net income tax effects of the various non-GAAP pretax adjustments.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sz w:val="20"/>
        </w:rPr>
      </w:pPr>
      <w:r>
        <w:rPr>
          <w:rFonts w:ascii="Times New Roman" w:hAnsi="Times New Roman"/>
          <w:b/>
          <w:color w:val="000000"/>
          <w:sz w:val="20"/>
        </w:rPr>
        <w:t>GAAP NET INCOME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ADJUSTED EBITDA RECONCILIATION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60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179"/>
        <w:gridCol w:w="146"/>
        <w:gridCol w:w="211"/>
        <w:gridCol w:w="676"/>
        <w:gridCol w:w="166"/>
        <w:gridCol w:w="146"/>
        <w:gridCol w:w="211"/>
        <w:gridCol w:w="676"/>
        <w:gridCol w:w="166"/>
        <w:gridCol w:w="146"/>
        <w:gridCol w:w="211"/>
        <w:gridCol w:w="781"/>
        <w:gridCol w:w="166"/>
        <w:gridCol w:w="146"/>
        <w:gridCol w:w="211"/>
        <w:gridCol w:w="676"/>
        <w:gridCol w:w="291"/>
      </w:tblGrid>
      <w:tr>
        <w:trPr/>
        <w:tc>
          <w:tcPr>
            <w:tcW w:w="5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GAAP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 recorded in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Leadership transition and other related costs recorded in 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Separation and other related costs recorded in selling, general and administrative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and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92,965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Represents separation and related costs that were incurred subsequent to the separation on October 1, 2022, including expenses incurred on a transitional basis under a contract shared with Xperi Inc.</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120" w:after="283"/>
        <w:jc w:val="center"/>
        <w:rPr>
          <w:rFonts w:ascii="Times New Roman" w:hAnsi="Times New Roman"/>
          <w:b/>
          <w:color w:val="000000"/>
          <w:sz w:val="19"/>
        </w:rPr>
      </w:pPr>
      <w:r>
        <w:rPr>
          <w:rFonts w:ascii="Times New Roman" w:hAnsi="Times New Roman"/>
          <w:b/>
          <w:color w:val="000000"/>
          <w:sz w:val="19"/>
        </w:rPr>
        <w:t>ADEIA INC.</w:t>
      </w:r>
    </w:p>
    <w:p>
      <w:pPr>
        <w:pStyle w:val="TextBody"/>
        <w:bidi w:val="0"/>
        <w:jc w:val="center"/>
        <w:rPr>
          <w:rFonts w:ascii="Times New Roman" w:hAnsi="Times New Roman"/>
          <w:sz w:val="20"/>
        </w:rPr>
      </w:pPr>
      <w:r>
        <w:rPr>
          <w:rFonts w:ascii="Times New Roman" w:hAnsi="Times New Roman"/>
          <w:b/>
          <w:color w:val="000000"/>
          <w:sz w:val="19"/>
        </w:rPr>
        <w:t>RECONCILIATION FOR GUIDANCE</w:t>
      </w:r>
      <w:r>
        <w:rPr>
          <w:rFonts w:ascii="Times New Roman" w:hAnsi="Times New Roman"/>
          <w:color w:val="000000"/>
          <w:sz w:val="20"/>
        </w:rPr>
        <w:t xml:space="preserve"> </w:t>
      </w:r>
    </w:p>
    <w:p>
      <w:pPr>
        <w:pStyle w:val="TextBody"/>
        <w:bidi w:val="0"/>
        <w:jc w:val="center"/>
        <w:rPr>
          <w:rFonts w:ascii="Times New Roman" w:hAnsi="Times New Roman"/>
          <w:b/>
          <w:color w:val="000000"/>
          <w:sz w:val="19"/>
        </w:rPr>
      </w:pPr>
      <w:r>
        <w:rPr>
          <w:rFonts w:ascii="Times New Roman" w:hAnsi="Times New Roman"/>
          <w:b/>
          <w:color w:val="000000"/>
          <w:sz w:val="19"/>
        </w:rPr>
        <w:t>ON OPERATING EXPENSES</w:t>
      </w:r>
    </w:p>
    <w:p>
      <w:pPr>
        <w:pStyle w:val="TextBody"/>
        <w:bidi w:val="0"/>
        <w:jc w:val="center"/>
        <w:rPr>
          <w:rFonts w:ascii="Times New Roman" w:hAnsi="Times New Roman"/>
          <w:b/>
          <w:color w:val="000000"/>
          <w:sz w:val="19"/>
        </w:rPr>
      </w:pPr>
      <w:r>
        <w:rPr>
          <w:rFonts w:ascii="Times New Roman" w:hAnsi="Times New Roman"/>
          <w:b/>
          <w:color w:val="000000"/>
          <w:sz w:val="19"/>
        </w:rPr>
        <w:t>(in millions)</w:t>
      </w:r>
    </w:p>
    <w:p>
      <w:pPr>
        <w:pStyle w:val="TextBody"/>
        <w:bidi w:val="0"/>
        <w:spacing w:before="0" w:after="600"/>
        <w:jc w:val="center"/>
        <w:rPr>
          <w:rFonts w:ascii="Times New Roman" w:hAnsi="Times New Roman"/>
          <w:b/>
          <w:color w:val="000000"/>
          <w:sz w:val="19"/>
        </w:rPr>
      </w:pPr>
      <w:r>
        <w:rPr>
          <w:rFonts w:ascii="Times New Roman" w:hAnsi="Times New Roman"/>
          <w:b/>
          <w:color w:val="000000"/>
          <w:sz w:val="19"/>
        </w:rPr>
        <w:t>(unaudited)</w:t>
      </w:r>
    </w:p>
    <w:tbl>
      <w:tblPr>
        <w:tblW w:w="5348" w:type="dxa"/>
        <w:jc w:val="left"/>
        <w:tblInd w:w="0" w:type="dxa"/>
        <w:tblLayout w:type="fixed"/>
        <w:tblCellMar>
          <w:top w:w="28" w:type="dxa"/>
          <w:left w:w="28" w:type="dxa"/>
          <w:bottom w:w="28" w:type="dxa"/>
          <w:right w:w="28" w:type="dxa"/>
        </w:tblCellMar>
      </w:tblPr>
      <w:tblGrid>
        <w:gridCol w:w="3101"/>
        <w:gridCol w:w="211"/>
        <w:gridCol w:w="571"/>
        <w:gridCol w:w="146"/>
        <w:gridCol w:w="146"/>
        <w:gridCol w:w="211"/>
        <w:gridCol w:w="571"/>
        <w:gridCol w:w="391"/>
      </w:tblGrid>
      <w:tr>
        <w:trPr/>
        <w:tc>
          <w:tcPr>
            <w:tcW w:w="3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Separation and related costs </w:t>
            </w:r>
            <w:r>
              <w:rPr>
                <w:rFonts w:ascii="Times New Roman" w:hAnsi="Times New Roman"/>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of non-GAAP adjustments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Represents separation and related costs that were incurred subsequent to the separation on October 1, 2022, including expenses incurred on a transitional basis under a contract shared with Xperi Inc.</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ADEIA INC.</w:t>
      </w:r>
    </w:p>
    <w:p>
      <w:pPr>
        <w:pStyle w:val="TextBody"/>
        <w:bidi w:val="0"/>
        <w:jc w:val="center"/>
        <w:rPr>
          <w:rFonts w:ascii="Times New Roman" w:hAnsi="Times New Roman"/>
          <w:sz w:val="20"/>
        </w:rPr>
      </w:pPr>
      <w:r>
        <w:rPr>
          <w:rFonts w:ascii="Times New Roman" w:hAnsi="Times New Roman"/>
          <w:b/>
          <w:color w:val="000000"/>
          <w:sz w:val="20"/>
        </w:rPr>
        <w:t>RECONCILIATION FOR GUIDANCE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ON NET INCOME</w:t>
      </w:r>
    </w:p>
    <w:p>
      <w:pPr>
        <w:pStyle w:val="TextBody"/>
        <w:bidi w:val="0"/>
        <w:jc w:val="center"/>
        <w:rPr>
          <w:rFonts w:ascii="Times New Roman" w:hAnsi="Times New Roman"/>
          <w:b/>
          <w:color w:val="000000"/>
          <w:sz w:val="20"/>
        </w:rPr>
      </w:pPr>
      <w:r>
        <w:rPr>
          <w:rFonts w:ascii="Times New Roman" w:hAnsi="Times New Roman"/>
          <w:b/>
          <w:color w:val="000000"/>
          <w:sz w:val="20"/>
        </w:rPr>
        <w:t>(in millions)</w:t>
      </w:r>
    </w:p>
    <w:p>
      <w:pPr>
        <w:pStyle w:val="TextBody"/>
        <w:bidi w:val="0"/>
        <w:spacing w:before="0" w:after="600"/>
        <w:jc w:val="center"/>
        <w:rPr>
          <w:rFonts w:ascii="Times New Roman" w:hAnsi="Times New Roman"/>
          <w:b/>
          <w:color w:val="000000"/>
          <w:sz w:val="20"/>
        </w:rPr>
      </w:pPr>
      <w:r>
        <w:rPr>
          <w:rFonts w:ascii="Times New Roman" w:hAnsi="Times New Roman"/>
          <w:b/>
          <w:color w:val="000000"/>
          <w:sz w:val="20"/>
        </w:rPr>
        <w:t>(unaudited)</w:t>
      </w:r>
    </w:p>
    <w:tbl>
      <w:tblPr>
        <w:tblW w:w="5768" w:type="dxa"/>
        <w:jc w:val="left"/>
        <w:tblInd w:w="0" w:type="dxa"/>
        <w:tblLayout w:type="fixed"/>
        <w:tblCellMar>
          <w:top w:w="28" w:type="dxa"/>
          <w:left w:w="28" w:type="dxa"/>
          <w:bottom w:w="28" w:type="dxa"/>
          <w:right w:w="28" w:type="dxa"/>
        </w:tblCellMar>
      </w:tblPr>
      <w:tblGrid>
        <w:gridCol w:w="3501"/>
        <w:gridCol w:w="211"/>
        <w:gridCol w:w="571"/>
        <w:gridCol w:w="166"/>
        <w:gridCol w:w="146"/>
        <w:gridCol w:w="211"/>
        <w:gridCol w:w="571"/>
        <w:gridCol w:w="391"/>
      </w:tblGrid>
      <w:tr>
        <w:trPr/>
        <w:tc>
          <w:tcPr>
            <w:tcW w:w="3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Separation and related costs </w:t>
            </w:r>
            <w:r>
              <w:rPr>
                <w:rFonts w:ascii="Times New Roman" w:hAnsi="Times New Roman"/>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of non-GAAP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Non-GAAP tax adjustment </w:t>
            </w:r>
            <w:r>
              <w:rPr>
                <w:rFonts w:ascii="Times New Roman" w:hAnsi="Times New Roman"/>
                <w:color w:val="000000"/>
                <w:sz w:val="13"/>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Represents separation and related costs that were incurred subsequent to the separation on October 1, 2022, including expenses incurred on a transitional basis under a contract shared with Xperi Inc.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1"/>
        </w:rPr>
        <w:t xml:space="preserve">(2) </w:t>
      </w:r>
      <w:r>
        <w:rPr>
          <w:rFonts w:ascii="Times New Roman" w:hAnsi="Times New Roman"/>
          <w:color w:val="000000"/>
          <w:sz w:val="16"/>
        </w:rPr>
        <w:t>The provision for income taxes is adjusted to reflect the net income tax effects of the various non-GAAP pretax adjustments.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ADEIA INC.</w:t>
      </w:r>
    </w:p>
    <w:p>
      <w:pPr>
        <w:pStyle w:val="TextBody"/>
        <w:bidi w:val="0"/>
        <w:jc w:val="center"/>
        <w:rPr>
          <w:rFonts w:ascii="Times New Roman" w:hAnsi="Times New Roman"/>
          <w:b/>
          <w:color w:val="000000"/>
          <w:sz w:val="19"/>
        </w:rPr>
      </w:pPr>
      <w:r>
        <w:rPr>
          <w:rFonts w:ascii="Times New Roman" w:hAnsi="Times New Roman"/>
          <w:b/>
          <w:color w:val="000000"/>
          <w:sz w:val="19"/>
        </w:rPr>
        <w:t>RECONCILIATION FOR GUIDANCE ON</w:t>
      </w:r>
    </w:p>
    <w:p>
      <w:pPr>
        <w:pStyle w:val="TextBody"/>
        <w:bidi w:val="0"/>
        <w:jc w:val="center"/>
        <w:rPr>
          <w:rFonts w:ascii="Times New Roman" w:hAnsi="Times New Roman"/>
          <w:sz w:val="20"/>
        </w:rPr>
      </w:pPr>
      <w:r>
        <w:rPr>
          <w:rFonts w:ascii="Times New Roman" w:hAnsi="Times New Roman"/>
          <w:b/>
          <w:color w:val="000000"/>
          <w:sz w:val="19"/>
        </w:rPr>
        <w:t>ADJUSTED EBITDA</w:t>
      </w:r>
      <w:r>
        <w:rPr>
          <w:rFonts w:ascii="Times New Roman" w:hAnsi="Times New Roman"/>
          <w:color w:val="000000"/>
          <w:sz w:val="20"/>
        </w:rPr>
        <w:t xml:space="preserve"> </w:t>
      </w:r>
    </w:p>
    <w:p>
      <w:pPr>
        <w:pStyle w:val="TextBody"/>
        <w:bidi w:val="0"/>
        <w:jc w:val="center"/>
        <w:rPr>
          <w:rFonts w:ascii="Times New Roman" w:hAnsi="Times New Roman"/>
          <w:b/>
          <w:color w:val="000000"/>
          <w:sz w:val="19"/>
        </w:rPr>
      </w:pPr>
      <w:r>
        <w:rPr>
          <w:rFonts w:ascii="Times New Roman" w:hAnsi="Times New Roman"/>
          <w:b/>
          <w:color w:val="000000"/>
          <w:sz w:val="19"/>
        </w:rPr>
        <w:t>(in millions)</w:t>
      </w:r>
    </w:p>
    <w:p>
      <w:pPr>
        <w:pStyle w:val="TextBody"/>
        <w:bidi w:val="0"/>
        <w:spacing w:before="0" w:after="480"/>
        <w:jc w:val="center"/>
        <w:rPr>
          <w:rFonts w:ascii="Times New Roman" w:hAnsi="Times New Roman"/>
          <w:b/>
          <w:color w:val="000000"/>
          <w:sz w:val="19"/>
        </w:rPr>
      </w:pPr>
      <w:r>
        <w:rPr>
          <w:rFonts w:ascii="Times New Roman" w:hAnsi="Times New Roman"/>
          <w:b/>
          <w:color w:val="000000"/>
          <w:sz w:val="19"/>
        </w:rPr>
        <w:t>(unaudited)</w:t>
      </w:r>
    </w:p>
    <w:tbl>
      <w:tblPr>
        <w:tblW w:w="5368" w:type="dxa"/>
        <w:jc w:val="left"/>
        <w:tblInd w:w="0" w:type="dxa"/>
        <w:tblLayout w:type="fixed"/>
        <w:tblCellMar>
          <w:top w:w="28" w:type="dxa"/>
          <w:left w:w="28" w:type="dxa"/>
          <w:bottom w:w="28" w:type="dxa"/>
          <w:right w:w="28" w:type="dxa"/>
        </w:tblCellMar>
      </w:tblPr>
      <w:tblGrid>
        <w:gridCol w:w="3101"/>
        <w:gridCol w:w="211"/>
        <w:gridCol w:w="571"/>
        <w:gridCol w:w="166"/>
        <w:gridCol w:w="146"/>
        <w:gridCol w:w="211"/>
        <w:gridCol w:w="571"/>
        <w:gridCol w:w="391"/>
      </w:tblGrid>
      <w:tr>
        <w:trPr/>
        <w:tc>
          <w:tcPr>
            <w:tcW w:w="3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Separation and related costs </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of non-GAAP adjustments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Represents separation and related costs that were incurred subsequent to the separation on October 1, 2022, including expenses incurred on a transitional basis under a contract shared with Xperi Inc.</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3996</Words>
  <Characters>22517</Characters>
  <CharactersWithSpaces>27109</CharactersWithSpaces>
  <Paragraphs>2270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